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BA28C" w14:textId="638865AD" w:rsidR="0040201E" w:rsidRPr="00800BDF" w:rsidRDefault="0040201E" w:rsidP="0040201E">
      <w:pPr>
        <w:pStyle w:val="3GPPHeader"/>
        <w:spacing w:after="60"/>
        <w:rPr>
          <w:rFonts w:ascii="Arial" w:hAnsi="Arial" w:cs="Arial"/>
          <w:sz w:val="32"/>
          <w:szCs w:val="32"/>
        </w:rPr>
      </w:pPr>
      <w:r w:rsidRPr="006445F3">
        <w:rPr>
          <w:rFonts w:ascii="Arial" w:hAnsi="Arial" w:cs="Arial"/>
        </w:rPr>
        <w:t>3GPP TSG-RAN WG1 Meeting #9</w:t>
      </w:r>
      <w:r>
        <w:rPr>
          <w:rFonts w:ascii="Arial" w:hAnsi="Arial" w:cs="Arial"/>
        </w:rPr>
        <w:t>2bis</w:t>
      </w:r>
      <w:r w:rsidRPr="006445F3">
        <w:rPr>
          <w:rFonts w:ascii="Arial" w:hAnsi="Arial" w:cs="Arial"/>
        </w:rPr>
        <w:tab/>
      </w:r>
      <w:r w:rsidRPr="009B54AB">
        <w:rPr>
          <w:rFonts w:ascii="Arial" w:hAnsi="Arial" w:cs="Arial"/>
          <w:sz w:val="32"/>
          <w:szCs w:val="32"/>
        </w:rPr>
        <w:t>R1-</w:t>
      </w:r>
      <w:r w:rsidRPr="00886854">
        <w:rPr>
          <w:rFonts w:ascii="Arial" w:hAnsi="Arial" w:cs="Arial"/>
          <w:sz w:val="32"/>
          <w:szCs w:val="32"/>
        </w:rPr>
        <w:t>18</w:t>
      </w:r>
      <w:r w:rsidR="007662B6">
        <w:rPr>
          <w:rFonts w:ascii="Arial" w:hAnsi="Arial" w:cs="Arial"/>
          <w:sz w:val="32"/>
          <w:szCs w:val="32"/>
        </w:rPr>
        <w:t>04123</w:t>
      </w:r>
    </w:p>
    <w:p w14:paraId="3C47806E" w14:textId="77777777" w:rsidR="0040201E" w:rsidRPr="006445F3" w:rsidRDefault="0040201E" w:rsidP="0040201E">
      <w:pPr>
        <w:pStyle w:val="3GPPHeader"/>
        <w:rPr>
          <w:rFonts w:ascii="Arial" w:hAnsi="Arial" w:cs="Arial"/>
          <w:szCs w:val="24"/>
        </w:rPr>
      </w:pPr>
      <w:r>
        <w:rPr>
          <w:rFonts w:ascii="Arial" w:eastAsia="Times New Roman" w:hAnsi="Arial" w:cs="Times New Roman"/>
          <w:szCs w:val="20"/>
          <w:lang w:eastAsia="zh-CN"/>
        </w:rPr>
        <w:t>Sanya, China</w:t>
      </w:r>
      <w:r w:rsidRPr="002A0037">
        <w:rPr>
          <w:rFonts w:ascii="Arial" w:eastAsia="Times New Roman" w:hAnsi="Arial" w:cs="Times New Roman"/>
          <w:szCs w:val="20"/>
          <w:lang w:eastAsia="zh-CN"/>
        </w:rPr>
        <w:t xml:space="preserve">, </w:t>
      </w:r>
      <w:r>
        <w:rPr>
          <w:rFonts w:ascii="Arial" w:eastAsia="Times New Roman" w:hAnsi="Arial" w:cs="Times New Roman"/>
          <w:szCs w:val="20"/>
          <w:lang w:eastAsia="zh-CN"/>
        </w:rPr>
        <w:t>16</w:t>
      </w:r>
      <w:r w:rsidRPr="0098214D">
        <w:rPr>
          <w:rFonts w:ascii="Arial" w:eastAsia="Times New Roman" w:hAnsi="Arial" w:cs="Times New Roman"/>
          <w:szCs w:val="20"/>
          <w:vertAlign w:val="superscript"/>
          <w:lang w:eastAsia="zh-CN"/>
        </w:rPr>
        <w:t>th</w:t>
      </w:r>
      <w:r>
        <w:rPr>
          <w:rFonts w:ascii="Arial" w:eastAsia="Times New Roman" w:hAnsi="Arial" w:cs="Times New Roman"/>
          <w:szCs w:val="20"/>
          <w:lang w:eastAsia="zh-CN"/>
        </w:rPr>
        <w:t xml:space="preserve"> – 20</w:t>
      </w:r>
      <w:r w:rsidRPr="0098214D">
        <w:rPr>
          <w:rFonts w:ascii="Arial" w:eastAsia="Times New Roman" w:hAnsi="Arial" w:cs="Times New Roman"/>
          <w:szCs w:val="20"/>
          <w:vertAlign w:val="superscript"/>
          <w:lang w:eastAsia="zh-CN"/>
        </w:rPr>
        <w:t>th</w:t>
      </w:r>
      <w:r>
        <w:rPr>
          <w:rFonts w:ascii="Arial" w:eastAsia="Times New Roman" w:hAnsi="Arial" w:cs="Times New Roman"/>
          <w:szCs w:val="20"/>
          <w:lang w:eastAsia="zh-CN"/>
        </w:rPr>
        <w:t xml:space="preserve"> April,</w:t>
      </w:r>
      <w:r w:rsidRPr="002A0037">
        <w:rPr>
          <w:rFonts w:ascii="Arial" w:eastAsia="Times New Roman" w:hAnsi="Arial" w:cs="Times New Roman"/>
          <w:szCs w:val="20"/>
          <w:lang w:eastAsia="zh-CN"/>
        </w:rPr>
        <w:t xml:space="preserve"> 2018</w:t>
      </w:r>
    </w:p>
    <w:p w14:paraId="5FCD4219" w14:textId="77777777" w:rsidR="00E90E49" w:rsidRPr="00F53306" w:rsidRDefault="00E90E49" w:rsidP="00357380">
      <w:pPr>
        <w:pStyle w:val="3GPPHeader"/>
      </w:pPr>
    </w:p>
    <w:p w14:paraId="606D9DC9" w14:textId="068C8932" w:rsidR="00E90E49" w:rsidRPr="007776BE" w:rsidRDefault="00930700" w:rsidP="00311702">
      <w:pPr>
        <w:pStyle w:val="3GPPHeader"/>
        <w:rPr>
          <w:sz w:val="22"/>
        </w:rPr>
      </w:pPr>
      <w:r>
        <w:rPr>
          <w:sz w:val="22"/>
        </w:rPr>
        <w:t>Agenda Item:</w:t>
      </w:r>
      <w:r>
        <w:rPr>
          <w:sz w:val="22"/>
        </w:rPr>
        <w:tab/>
        <w:t>6</w:t>
      </w:r>
      <w:r w:rsidR="00384FC5" w:rsidRPr="007776BE">
        <w:rPr>
          <w:sz w:val="22"/>
        </w:rPr>
        <w:t>.2.</w:t>
      </w:r>
      <w:r w:rsidR="0040201E">
        <w:rPr>
          <w:sz w:val="22"/>
        </w:rPr>
        <w:t>6</w:t>
      </w:r>
      <w:r w:rsidR="00384FC5" w:rsidRPr="007776BE">
        <w:rPr>
          <w:sz w:val="22"/>
        </w:rPr>
        <w:t>.4</w:t>
      </w:r>
    </w:p>
    <w:p w14:paraId="684B06A7" w14:textId="77777777" w:rsidR="00E90E49" w:rsidRPr="00F53306" w:rsidRDefault="003D3C45" w:rsidP="00F64C2B">
      <w:pPr>
        <w:pStyle w:val="3GPPHeader"/>
        <w:rPr>
          <w:sz w:val="22"/>
        </w:rPr>
      </w:pPr>
      <w:r w:rsidRPr="00F53306">
        <w:rPr>
          <w:sz w:val="22"/>
        </w:rPr>
        <w:t>Source:</w:t>
      </w:r>
      <w:r w:rsidR="00E90E49" w:rsidRPr="00F53306">
        <w:rPr>
          <w:sz w:val="22"/>
        </w:rPr>
        <w:tab/>
      </w:r>
      <w:r w:rsidR="00F64C2B" w:rsidRPr="00F53306">
        <w:rPr>
          <w:sz w:val="22"/>
        </w:rPr>
        <w:t>Ericsson</w:t>
      </w:r>
    </w:p>
    <w:p w14:paraId="214B1E52" w14:textId="792B5CDB" w:rsidR="00E90E49" w:rsidRPr="00F53306" w:rsidRDefault="003D3C45" w:rsidP="00547F4D">
      <w:pPr>
        <w:pStyle w:val="3GPPHeader"/>
        <w:ind w:left="1701" w:hanging="1701"/>
        <w:rPr>
          <w:sz w:val="22"/>
        </w:rPr>
      </w:pPr>
      <w:r w:rsidRPr="00F53306">
        <w:rPr>
          <w:sz w:val="22"/>
        </w:rPr>
        <w:t>Title:</w:t>
      </w:r>
      <w:r w:rsidR="006B5B0F" w:rsidRPr="00F53306">
        <w:rPr>
          <w:sz w:val="22"/>
        </w:rPr>
        <w:tab/>
      </w:r>
      <w:bookmarkStart w:id="0" w:name="_Hlk486582327"/>
      <w:r w:rsidR="00724D3B" w:rsidRPr="00F53306">
        <w:rPr>
          <w:sz w:val="22"/>
        </w:rPr>
        <w:t>Uplink HARQ-ACK feedback for MTC</w:t>
      </w:r>
      <w:bookmarkEnd w:id="0"/>
    </w:p>
    <w:p w14:paraId="59D6E79C" w14:textId="680F21AB" w:rsidR="00E90E49" w:rsidRPr="00C853D6" w:rsidRDefault="00E90E49" w:rsidP="00D546FF">
      <w:pPr>
        <w:pStyle w:val="3GPPHeader"/>
        <w:rPr>
          <w:sz w:val="22"/>
        </w:rPr>
      </w:pPr>
      <w:r w:rsidRPr="00C853D6">
        <w:rPr>
          <w:sz w:val="22"/>
        </w:rPr>
        <w:t>Document for:</w:t>
      </w:r>
      <w:r w:rsidRPr="00C853D6">
        <w:rPr>
          <w:sz w:val="22"/>
        </w:rPr>
        <w:tab/>
        <w:t>Decision</w:t>
      </w:r>
    </w:p>
    <w:p w14:paraId="65062EEC" w14:textId="77777777" w:rsidR="00E90E49" w:rsidRPr="00CE0424" w:rsidRDefault="00E90E49" w:rsidP="00CE0424">
      <w:pPr>
        <w:pStyle w:val="Heading1"/>
      </w:pPr>
      <w:r w:rsidRPr="00CE0424">
        <w:t>Introduction</w:t>
      </w:r>
    </w:p>
    <w:p w14:paraId="3942F7B0" w14:textId="6AE66049" w:rsidR="00477768" w:rsidRPr="00F53306" w:rsidRDefault="00B868CA" w:rsidP="00CE0424">
      <w:pPr>
        <w:pStyle w:val="BodyText"/>
      </w:pPr>
      <w:r w:rsidRPr="00F53306">
        <w:t xml:space="preserve">The Rel-15 WI on “Even further enhanced MTC for LTE” </w:t>
      </w:r>
      <w:r>
        <w:fldChar w:fldCharType="begin"/>
      </w:r>
      <w:r w:rsidRPr="00F53306">
        <w:instrText xml:space="preserve"> REF _Ref174151459 \r \h </w:instrText>
      </w:r>
      <w:r>
        <w:fldChar w:fldCharType="separate"/>
      </w:r>
      <w:r w:rsidR="00D005B4">
        <w:t>[1]</w:t>
      </w:r>
      <w:r>
        <w:fldChar w:fldCharType="end"/>
      </w:r>
      <w:r w:rsidRPr="00F53306">
        <w:t xml:space="preserve"> has the following WI objective for </w:t>
      </w:r>
      <w:r w:rsidR="006160F1" w:rsidRPr="00F53306">
        <w:t>machine-type communications for BL/CE UEs:</w:t>
      </w:r>
    </w:p>
    <w:p w14:paraId="5F6F5C3E" w14:textId="77777777" w:rsidR="00B868CA" w:rsidRPr="00E23A5D" w:rsidRDefault="00B868CA" w:rsidP="00AE6095">
      <w:pPr>
        <w:pStyle w:val="ListParagraph"/>
        <w:numPr>
          <w:ilvl w:val="0"/>
          <w:numId w:val="16"/>
        </w:numPr>
        <w:spacing w:after="180"/>
        <w:ind w:right="-99"/>
        <w:rPr>
          <w:rFonts w:eastAsia="SimSun"/>
          <w:i/>
          <w:lang w:eastAsia="ja-JP"/>
        </w:rPr>
      </w:pPr>
      <w:r w:rsidRPr="00E23A5D">
        <w:rPr>
          <w:rFonts w:eastAsia="SimSun"/>
          <w:i/>
          <w:lang w:eastAsia="ja-JP"/>
        </w:rPr>
        <w:t xml:space="preserve">Power consumption reduction for </w:t>
      </w:r>
      <w:r w:rsidRPr="00E23A5D">
        <w:rPr>
          <w:i/>
          <w:lang w:eastAsia="ja-JP"/>
        </w:rPr>
        <w:t>physical channels</w:t>
      </w:r>
      <w:r w:rsidRPr="00E23A5D">
        <w:rPr>
          <w:rFonts w:eastAsia="SimSun"/>
          <w:i/>
          <w:lang w:eastAsia="ja-JP"/>
        </w:rPr>
        <w:t xml:space="preserve"> </w:t>
      </w:r>
      <w:r w:rsidRPr="00E23A5D">
        <w:rPr>
          <w:rFonts w:eastAsia="SimSun"/>
          <w:i/>
          <w:color w:val="808080"/>
          <w:lang w:eastAsia="ja-JP"/>
        </w:rPr>
        <w:t>[RAN1 lead, RAN2, RAN4]</w:t>
      </w:r>
    </w:p>
    <w:p w14:paraId="046616A2" w14:textId="0604D458" w:rsidR="00B868CA" w:rsidRPr="00E23A5D" w:rsidRDefault="00B868CA" w:rsidP="00AE6095">
      <w:pPr>
        <w:pStyle w:val="ListParagraph"/>
        <w:numPr>
          <w:ilvl w:val="1"/>
          <w:numId w:val="16"/>
        </w:numPr>
        <w:spacing w:after="180"/>
        <w:ind w:right="-99"/>
        <w:rPr>
          <w:i/>
          <w:lang w:eastAsia="ja-JP"/>
        </w:rPr>
      </w:pPr>
      <w:r w:rsidRPr="00F53306">
        <w:rPr>
          <w:i/>
        </w:rPr>
        <w:t>Study and, if found beneficial for connected mode, specify physical signal/channel/DCI for HARQ-ACK feedback in DL for data transmission in UL.</w:t>
      </w:r>
    </w:p>
    <w:p w14:paraId="1E4C3E22" w14:textId="70E48CA7" w:rsidR="00A42BC0" w:rsidRPr="00F53306" w:rsidRDefault="00A42BC0" w:rsidP="00486972">
      <w:pPr>
        <w:spacing w:after="180"/>
        <w:ind w:right="-99"/>
      </w:pPr>
      <w:r w:rsidRPr="00F53306">
        <w:t>RAN1#88bis made the following agreements:</w:t>
      </w:r>
    </w:p>
    <w:p w14:paraId="0A4D9E59" w14:textId="6AF42953" w:rsidR="00A42BC0" w:rsidRPr="00F53306" w:rsidRDefault="00A42BC0" w:rsidP="00A42BC0">
      <w:pPr>
        <w:pStyle w:val="ListParagraph"/>
        <w:numPr>
          <w:ilvl w:val="0"/>
          <w:numId w:val="16"/>
        </w:numPr>
        <w:spacing w:after="180"/>
        <w:ind w:right="-99"/>
        <w:rPr>
          <w:i/>
        </w:rPr>
      </w:pPr>
      <w:r w:rsidRPr="00F53306">
        <w:rPr>
          <w:i/>
        </w:rPr>
        <w:t>For the purpose of evaluations of HARQ-ACK feedback for UE power saving:</w:t>
      </w:r>
    </w:p>
    <w:p w14:paraId="5EC064DE" w14:textId="15B82029" w:rsidR="00A42BC0" w:rsidRPr="00F53306" w:rsidRDefault="00A42BC0" w:rsidP="00A42BC0">
      <w:pPr>
        <w:pStyle w:val="ListParagraph"/>
        <w:numPr>
          <w:ilvl w:val="1"/>
          <w:numId w:val="16"/>
        </w:numPr>
        <w:spacing w:after="180"/>
        <w:ind w:right="-99"/>
        <w:rPr>
          <w:i/>
        </w:rPr>
      </w:pPr>
      <w:r w:rsidRPr="00F53306">
        <w:rPr>
          <w:i/>
        </w:rPr>
        <w:t>At least the following two options are considered for HARQ-ACK feedback channel:</w:t>
      </w:r>
    </w:p>
    <w:p w14:paraId="15EA7CC1" w14:textId="03BC4FF9" w:rsidR="00A42BC0" w:rsidRPr="00F53306" w:rsidRDefault="00A42BC0" w:rsidP="00A42BC0">
      <w:pPr>
        <w:pStyle w:val="ListParagraph"/>
        <w:numPr>
          <w:ilvl w:val="2"/>
          <w:numId w:val="16"/>
        </w:numPr>
        <w:spacing w:after="180"/>
        <w:ind w:right="-99"/>
        <w:rPr>
          <w:i/>
        </w:rPr>
      </w:pPr>
      <w:r w:rsidRPr="00F53306">
        <w:rPr>
          <w:i/>
        </w:rPr>
        <w:t>Option 1: One HARQ-ACK feedback channel for multiple UE PUSCHs in one transmission</w:t>
      </w:r>
    </w:p>
    <w:p w14:paraId="5FC0C55D" w14:textId="3212EFEF" w:rsidR="00A42BC0" w:rsidRPr="00F53306" w:rsidRDefault="00A42BC0" w:rsidP="00A42BC0">
      <w:pPr>
        <w:pStyle w:val="ListParagraph"/>
        <w:numPr>
          <w:ilvl w:val="2"/>
          <w:numId w:val="16"/>
        </w:numPr>
        <w:spacing w:after="180"/>
        <w:ind w:right="-99"/>
        <w:rPr>
          <w:i/>
        </w:rPr>
      </w:pPr>
      <w:r w:rsidRPr="00F53306">
        <w:rPr>
          <w:i/>
        </w:rPr>
        <w:t>Option 2: One HARQ-ACK feedback channel for a single UE PUSCH in one transmission</w:t>
      </w:r>
    </w:p>
    <w:p w14:paraId="0160650B" w14:textId="19B50699" w:rsidR="00A42BC0" w:rsidRPr="00F53306" w:rsidRDefault="00A42BC0" w:rsidP="00A42BC0">
      <w:pPr>
        <w:pStyle w:val="ListParagraph"/>
        <w:numPr>
          <w:ilvl w:val="1"/>
          <w:numId w:val="16"/>
        </w:numPr>
        <w:spacing w:after="180"/>
        <w:ind w:right="-99"/>
        <w:rPr>
          <w:i/>
        </w:rPr>
      </w:pPr>
      <w:r w:rsidRPr="00F53306">
        <w:rPr>
          <w:i/>
        </w:rPr>
        <w:t>Detailed design on HARQ-feedback channel FFS among at least the following options:</w:t>
      </w:r>
    </w:p>
    <w:p w14:paraId="6A110BD1" w14:textId="41028457" w:rsidR="00A42BC0" w:rsidRPr="00E23A5D" w:rsidRDefault="00A42BC0" w:rsidP="00A42BC0">
      <w:pPr>
        <w:pStyle w:val="ListParagraph"/>
        <w:numPr>
          <w:ilvl w:val="2"/>
          <w:numId w:val="16"/>
        </w:numPr>
        <w:spacing w:after="180"/>
        <w:ind w:right="-99"/>
        <w:rPr>
          <w:i/>
        </w:rPr>
      </w:pPr>
      <w:r w:rsidRPr="00E23A5D">
        <w:rPr>
          <w:i/>
        </w:rPr>
        <w:t>PHICH-like channel</w:t>
      </w:r>
    </w:p>
    <w:p w14:paraId="2AFF534E" w14:textId="4BC7B909" w:rsidR="00A42BC0" w:rsidRPr="00F53306" w:rsidRDefault="00A42BC0" w:rsidP="00A42BC0">
      <w:pPr>
        <w:pStyle w:val="ListParagraph"/>
        <w:numPr>
          <w:ilvl w:val="2"/>
          <w:numId w:val="16"/>
        </w:numPr>
        <w:spacing w:after="180"/>
        <w:ind w:right="-99"/>
        <w:rPr>
          <w:i/>
        </w:rPr>
      </w:pPr>
      <w:r w:rsidRPr="00F53306">
        <w:rPr>
          <w:i/>
        </w:rPr>
        <w:t>MPDCCH with reduced DCI size(s)</w:t>
      </w:r>
    </w:p>
    <w:p w14:paraId="202B9860" w14:textId="1AB84B71" w:rsidR="00A42BC0" w:rsidRPr="00F53306" w:rsidRDefault="00A42BC0" w:rsidP="00A42BC0">
      <w:pPr>
        <w:pStyle w:val="ListParagraph"/>
        <w:numPr>
          <w:ilvl w:val="2"/>
          <w:numId w:val="16"/>
        </w:numPr>
        <w:spacing w:after="180"/>
        <w:ind w:right="-99"/>
        <w:rPr>
          <w:i/>
        </w:rPr>
      </w:pPr>
      <w:r w:rsidRPr="00F53306">
        <w:rPr>
          <w:i/>
        </w:rPr>
        <w:t>MPDCCH with existing DCI size(s)</w:t>
      </w:r>
    </w:p>
    <w:p w14:paraId="438167D4" w14:textId="5A319172" w:rsidR="00A42BC0" w:rsidRPr="00F53306" w:rsidRDefault="00A42BC0" w:rsidP="00A42BC0">
      <w:pPr>
        <w:pStyle w:val="ListParagraph"/>
        <w:numPr>
          <w:ilvl w:val="1"/>
          <w:numId w:val="16"/>
        </w:numPr>
        <w:spacing w:after="180"/>
        <w:ind w:right="-99"/>
        <w:rPr>
          <w:i/>
        </w:rPr>
      </w:pPr>
      <w:r w:rsidRPr="00F53306">
        <w:rPr>
          <w:i/>
        </w:rPr>
        <w:t>Early termination of PUSCH transmission and/or MPDCCH monitoring are considered.</w:t>
      </w:r>
    </w:p>
    <w:p w14:paraId="26B9015B" w14:textId="77777777" w:rsidR="00EF7761" w:rsidRPr="00F53306" w:rsidRDefault="00A42BC0" w:rsidP="00486972">
      <w:pPr>
        <w:pStyle w:val="ListParagraph"/>
        <w:numPr>
          <w:ilvl w:val="2"/>
          <w:numId w:val="16"/>
        </w:numPr>
        <w:spacing w:after="180"/>
        <w:ind w:right="-99"/>
        <w:rPr>
          <w:i/>
        </w:rPr>
      </w:pPr>
      <w:r w:rsidRPr="00F53306">
        <w:rPr>
          <w:i/>
        </w:rPr>
        <w:t>The detailed solutions can be different for HD-FDD and FD-FDD/TDD.</w:t>
      </w:r>
    </w:p>
    <w:p w14:paraId="206D3E8A" w14:textId="09D138EC" w:rsidR="00A42BC0" w:rsidRPr="00F53306" w:rsidRDefault="0035792D" w:rsidP="00EF7761">
      <w:pPr>
        <w:pStyle w:val="ListParagraph"/>
        <w:numPr>
          <w:ilvl w:val="0"/>
          <w:numId w:val="16"/>
        </w:numPr>
        <w:spacing w:after="180"/>
        <w:ind w:right="-99"/>
        <w:rPr>
          <w:i/>
        </w:rPr>
      </w:pPr>
      <w:r w:rsidRPr="00F53306">
        <w:rPr>
          <w:i/>
        </w:rPr>
        <w:t xml:space="preserve">RAN1#88bis also agreed the evaluation assumptions and performance metrics in </w:t>
      </w:r>
      <w:r w:rsidRPr="00E23A5D">
        <w:rPr>
          <w:i/>
        </w:rPr>
        <w:fldChar w:fldCharType="begin"/>
      </w:r>
      <w:r w:rsidRPr="00F53306">
        <w:rPr>
          <w:i/>
        </w:rPr>
        <w:instrText xml:space="preserve"> REF _Ref481601981 \r \h </w:instrText>
      </w:r>
      <w:r w:rsidR="00E23A5D" w:rsidRPr="00F53306">
        <w:rPr>
          <w:i/>
        </w:rPr>
        <w:instrText xml:space="preserve"> \* MERGEFORMAT </w:instrText>
      </w:r>
      <w:r w:rsidRPr="00E23A5D">
        <w:rPr>
          <w:i/>
        </w:rPr>
      </w:r>
      <w:r w:rsidRPr="00E23A5D">
        <w:rPr>
          <w:i/>
        </w:rPr>
        <w:fldChar w:fldCharType="separate"/>
      </w:r>
      <w:r w:rsidR="00D005B4">
        <w:rPr>
          <w:i/>
        </w:rPr>
        <w:t>[2]</w:t>
      </w:r>
      <w:r w:rsidRPr="00E23A5D">
        <w:rPr>
          <w:i/>
        </w:rPr>
        <w:fldChar w:fldCharType="end"/>
      </w:r>
      <w:r w:rsidRPr="00F53306">
        <w:rPr>
          <w:i/>
        </w:rPr>
        <w:t>.</w:t>
      </w:r>
    </w:p>
    <w:p w14:paraId="3EFBA8FB" w14:textId="4ED399D1" w:rsidR="00E23A5D" w:rsidRPr="00F53306" w:rsidRDefault="00E23A5D" w:rsidP="00E23A5D">
      <w:pPr>
        <w:spacing w:after="180"/>
        <w:ind w:right="-99"/>
      </w:pPr>
      <w:r w:rsidRPr="00F53306">
        <w:t>RAN1#89 made the following agreement:</w:t>
      </w:r>
    </w:p>
    <w:p w14:paraId="4CB65E43" w14:textId="33903C6D" w:rsidR="00E23A5D" w:rsidRPr="00E23A5D" w:rsidRDefault="00E23A5D" w:rsidP="00E23A5D">
      <w:pPr>
        <w:pStyle w:val="ListParagraph"/>
        <w:numPr>
          <w:ilvl w:val="0"/>
          <w:numId w:val="16"/>
        </w:numPr>
        <w:spacing w:after="180"/>
        <w:ind w:right="-99"/>
        <w:rPr>
          <w:i/>
        </w:rPr>
      </w:pPr>
      <w:r w:rsidRPr="00E23A5D">
        <w:rPr>
          <w:i/>
        </w:rPr>
        <w:t>If explicit UL HARQ-ACK feedback is supported, it is based on MPDCCH.</w:t>
      </w:r>
    </w:p>
    <w:p w14:paraId="6668FEF1" w14:textId="450D3E64" w:rsidR="00F53306" w:rsidRPr="00F53306" w:rsidRDefault="00F53306" w:rsidP="00F53306">
      <w:pPr>
        <w:spacing w:after="180"/>
        <w:ind w:right="-99"/>
      </w:pPr>
      <w:r>
        <w:t>RAN1#90</w:t>
      </w:r>
      <w:r w:rsidRPr="00F53306">
        <w:t xml:space="preserve"> made the following agreement</w:t>
      </w:r>
      <w:r>
        <w:t>s</w:t>
      </w:r>
      <w:r w:rsidRPr="00F53306">
        <w:t>:</w:t>
      </w:r>
    </w:p>
    <w:p w14:paraId="31F877D4" w14:textId="77777777" w:rsidR="00F53306" w:rsidRPr="00F53306" w:rsidRDefault="00F53306" w:rsidP="00F53306">
      <w:pPr>
        <w:pStyle w:val="ListParagraph"/>
        <w:numPr>
          <w:ilvl w:val="0"/>
          <w:numId w:val="16"/>
        </w:numPr>
        <w:spacing w:after="180"/>
        <w:ind w:right="-99"/>
        <w:rPr>
          <w:i/>
          <w:iCs/>
        </w:rPr>
      </w:pPr>
      <w:r w:rsidRPr="00F53306">
        <w:rPr>
          <w:i/>
          <w:iCs/>
        </w:rPr>
        <w:t>Explicit HARQ-ACK feedback is supported for the following purpose(s):</w:t>
      </w:r>
    </w:p>
    <w:p w14:paraId="2419BAFC" w14:textId="77777777" w:rsidR="00F53306" w:rsidRPr="00F53306" w:rsidRDefault="00F53306" w:rsidP="00F53306">
      <w:pPr>
        <w:pStyle w:val="ListParagraph"/>
        <w:numPr>
          <w:ilvl w:val="1"/>
          <w:numId w:val="16"/>
        </w:numPr>
        <w:spacing w:after="180"/>
        <w:ind w:right="-99"/>
        <w:rPr>
          <w:i/>
          <w:iCs/>
        </w:rPr>
      </w:pPr>
      <w:r w:rsidRPr="00F53306">
        <w:rPr>
          <w:i/>
          <w:iCs/>
        </w:rPr>
        <w:t>Early termination of MPDCCH monitoring before going to sleep (details up to RAN2)</w:t>
      </w:r>
    </w:p>
    <w:p w14:paraId="0A272D84" w14:textId="77777777" w:rsidR="00F53306" w:rsidRPr="00F53306" w:rsidRDefault="00F53306" w:rsidP="00F53306">
      <w:pPr>
        <w:pStyle w:val="ListParagraph"/>
        <w:numPr>
          <w:ilvl w:val="1"/>
          <w:numId w:val="16"/>
        </w:numPr>
        <w:spacing w:after="180"/>
        <w:ind w:right="-99"/>
        <w:rPr>
          <w:i/>
          <w:iCs/>
        </w:rPr>
      </w:pPr>
      <w:r w:rsidRPr="00F53306">
        <w:rPr>
          <w:i/>
          <w:iCs/>
        </w:rPr>
        <w:t>FFS: Early termination of PUSCH transmission at least in FD-FDD and TDD</w:t>
      </w:r>
    </w:p>
    <w:p w14:paraId="1C09DDDF" w14:textId="3A825DDD" w:rsidR="00F53306" w:rsidRDefault="00F53306" w:rsidP="00F53306">
      <w:pPr>
        <w:pStyle w:val="ListParagraph"/>
        <w:numPr>
          <w:ilvl w:val="0"/>
          <w:numId w:val="16"/>
        </w:numPr>
        <w:spacing w:after="180"/>
        <w:ind w:right="-99"/>
        <w:rPr>
          <w:i/>
          <w:iCs/>
        </w:rPr>
      </w:pPr>
      <w:r w:rsidRPr="00F53306">
        <w:rPr>
          <w:i/>
          <w:iCs/>
        </w:rPr>
        <w:t>The introduction of explicit HARQ-ACK feedback shall not increase the maximum number of MPDCCH blind decoding attempts.</w:t>
      </w:r>
    </w:p>
    <w:p w14:paraId="22100E4F" w14:textId="6C270CAE" w:rsidR="00DB0715" w:rsidRPr="00F53306" w:rsidRDefault="00DB0715" w:rsidP="00DB0715">
      <w:pPr>
        <w:spacing w:after="180"/>
        <w:ind w:right="-99"/>
      </w:pPr>
      <w:r>
        <w:t>RAN1#90bis</w:t>
      </w:r>
      <w:r w:rsidRPr="00F53306">
        <w:t xml:space="preserve"> made the following agreement</w:t>
      </w:r>
      <w:r>
        <w:t>s</w:t>
      </w:r>
      <w:r w:rsidRPr="00F53306">
        <w:t>:</w:t>
      </w:r>
    </w:p>
    <w:p w14:paraId="2944549E" w14:textId="77777777" w:rsidR="00DB0715" w:rsidRPr="00DB0715" w:rsidRDefault="00DB0715" w:rsidP="00DB0715">
      <w:pPr>
        <w:pStyle w:val="ListParagraph"/>
        <w:numPr>
          <w:ilvl w:val="0"/>
          <w:numId w:val="16"/>
        </w:numPr>
        <w:spacing w:after="180"/>
        <w:ind w:right="-99"/>
        <w:rPr>
          <w:i/>
          <w:iCs/>
        </w:rPr>
      </w:pPr>
      <w:r w:rsidRPr="00DB0715">
        <w:rPr>
          <w:i/>
          <w:iCs/>
        </w:rPr>
        <w:lastRenderedPageBreak/>
        <w:t>Early termination of PUSCH transmission is supported at least in FD-FDD and TDD by the following:</w:t>
      </w:r>
    </w:p>
    <w:p w14:paraId="3D6EF80E" w14:textId="77777777" w:rsidR="00DB0715" w:rsidRPr="00DB0715" w:rsidRDefault="00DB0715" w:rsidP="00DB0715">
      <w:pPr>
        <w:pStyle w:val="ListParagraph"/>
        <w:numPr>
          <w:ilvl w:val="1"/>
          <w:numId w:val="16"/>
        </w:numPr>
        <w:spacing w:after="180"/>
        <w:ind w:right="-99"/>
        <w:rPr>
          <w:i/>
          <w:iCs/>
        </w:rPr>
      </w:pPr>
      <w:r w:rsidRPr="00DB0715">
        <w:rPr>
          <w:i/>
          <w:iCs/>
        </w:rPr>
        <w:t>MPDCCH for UL grant for scheduling new UL data</w:t>
      </w:r>
    </w:p>
    <w:p w14:paraId="652F15F0" w14:textId="77777777" w:rsidR="00DB0715" w:rsidRPr="00DB0715" w:rsidRDefault="00DB0715" w:rsidP="00DB0715">
      <w:pPr>
        <w:pStyle w:val="ListParagraph"/>
        <w:numPr>
          <w:ilvl w:val="1"/>
          <w:numId w:val="16"/>
        </w:numPr>
        <w:spacing w:after="180"/>
        <w:ind w:right="-99"/>
        <w:rPr>
          <w:i/>
          <w:iCs/>
        </w:rPr>
      </w:pPr>
      <w:r w:rsidRPr="00DB0715">
        <w:rPr>
          <w:i/>
          <w:iCs/>
        </w:rPr>
        <w:t>MPDCCH for explicit HARQ-ACK feedback</w:t>
      </w:r>
    </w:p>
    <w:p w14:paraId="5A6984C2" w14:textId="77777777" w:rsidR="00DB0715" w:rsidRPr="00DB0715" w:rsidRDefault="00DB0715" w:rsidP="00DB0715">
      <w:pPr>
        <w:pStyle w:val="ListParagraph"/>
        <w:numPr>
          <w:ilvl w:val="0"/>
          <w:numId w:val="16"/>
        </w:numPr>
        <w:spacing w:after="180"/>
        <w:ind w:right="-99"/>
        <w:rPr>
          <w:i/>
          <w:iCs/>
        </w:rPr>
      </w:pPr>
      <w:r w:rsidRPr="00DB0715">
        <w:rPr>
          <w:i/>
          <w:iCs/>
        </w:rPr>
        <w:t>For explicit HARQ-ACK feedback for early termination of MPDCCH monitoring:</w:t>
      </w:r>
    </w:p>
    <w:p w14:paraId="1D16E7E3" w14:textId="77777777" w:rsidR="00DB0715" w:rsidRPr="00DB0715" w:rsidRDefault="00DB0715" w:rsidP="00DB0715">
      <w:pPr>
        <w:pStyle w:val="ListParagraph"/>
        <w:numPr>
          <w:ilvl w:val="1"/>
          <w:numId w:val="16"/>
        </w:numPr>
        <w:spacing w:after="180"/>
        <w:ind w:right="-99"/>
        <w:rPr>
          <w:i/>
          <w:iCs/>
        </w:rPr>
      </w:pPr>
      <w:r w:rsidRPr="00DB0715">
        <w:rPr>
          <w:i/>
          <w:iCs/>
        </w:rPr>
        <w:t>Explicit HARQ-ACK feedback for a single UE is carried in a DCI with the same DCI size as DCI format 6-0A/B. The DCI is carried on MPDCCH in UE-specific search space.</w:t>
      </w:r>
    </w:p>
    <w:p w14:paraId="12CAA80A" w14:textId="77777777" w:rsidR="00DB0715" w:rsidRPr="00DB0715" w:rsidRDefault="00DB0715" w:rsidP="00DB0715">
      <w:pPr>
        <w:pStyle w:val="ListParagraph"/>
        <w:numPr>
          <w:ilvl w:val="0"/>
          <w:numId w:val="16"/>
        </w:numPr>
        <w:spacing w:after="180"/>
        <w:ind w:right="-99"/>
        <w:rPr>
          <w:i/>
          <w:iCs/>
        </w:rPr>
      </w:pPr>
      <w:r w:rsidRPr="00DB0715">
        <w:rPr>
          <w:i/>
          <w:iCs/>
        </w:rPr>
        <w:t>For explicit HARQ-ACK feedback for early termination of PUSCH transmission:</w:t>
      </w:r>
    </w:p>
    <w:p w14:paraId="039D406F" w14:textId="77777777" w:rsidR="00DB0715" w:rsidRPr="00DB0715" w:rsidRDefault="00DB0715" w:rsidP="00DB0715">
      <w:pPr>
        <w:pStyle w:val="ListParagraph"/>
        <w:numPr>
          <w:ilvl w:val="1"/>
          <w:numId w:val="16"/>
        </w:numPr>
        <w:spacing w:after="180"/>
        <w:ind w:right="-99"/>
        <w:rPr>
          <w:i/>
          <w:iCs/>
        </w:rPr>
      </w:pPr>
      <w:r w:rsidRPr="00DB0715">
        <w:rPr>
          <w:i/>
          <w:iCs/>
        </w:rPr>
        <w:t>Explicit HARQ-ACK feedback for a single UE is carried in a DCI with the same DCI size as DCI format 6-0A/B. The DCI is carried on MPDCCH in UE-specific search space.</w:t>
      </w:r>
    </w:p>
    <w:p w14:paraId="42BD89A9" w14:textId="6275163F" w:rsidR="00DB0715" w:rsidRDefault="00DB0715" w:rsidP="00DB0715">
      <w:pPr>
        <w:pStyle w:val="ListParagraph"/>
        <w:numPr>
          <w:ilvl w:val="1"/>
          <w:numId w:val="16"/>
        </w:numPr>
        <w:spacing w:after="180"/>
        <w:ind w:right="-99"/>
        <w:rPr>
          <w:i/>
          <w:iCs/>
        </w:rPr>
      </w:pPr>
      <w:r w:rsidRPr="00DB0715">
        <w:rPr>
          <w:i/>
          <w:iCs/>
        </w:rPr>
        <w:t>FFS: Explicit HARQ-ACK feedback for multiple UEs is carried in a DCI</w:t>
      </w:r>
    </w:p>
    <w:p w14:paraId="21D3B778" w14:textId="69C39A8D" w:rsidR="000C5FFE" w:rsidRPr="00F53306" w:rsidRDefault="000C5FFE" w:rsidP="000C5FFE">
      <w:pPr>
        <w:spacing w:after="180"/>
        <w:ind w:right="-99"/>
      </w:pPr>
      <w:r>
        <w:t>RAN1#91</w:t>
      </w:r>
      <w:r w:rsidRPr="00F53306">
        <w:t xml:space="preserve"> made the following agreement</w:t>
      </w:r>
      <w:r>
        <w:t>s</w:t>
      </w:r>
      <w:r w:rsidRPr="00F53306">
        <w:t>:</w:t>
      </w:r>
    </w:p>
    <w:p w14:paraId="47697740" w14:textId="77777777" w:rsidR="000C5FFE" w:rsidRPr="000C5FFE" w:rsidRDefault="000C5FFE" w:rsidP="000C5FFE">
      <w:pPr>
        <w:pStyle w:val="ListParagraph"/>
        <w:numPr>
          <w:ilvl w:val="0"/>
          <w:numId w:val="16"/>
        </w:numPr>
        <w:spacing w:after="180"/>
        <w:ind w:right="-99"/>
        <w:rPr>
          <w:i/>
          <w:iCs/>
        </w:rPr>
      </w:pPr>
      <w:bookmarkStart w:id="1" w:name="_Hlk505237598"/>
      <w:r w:rsidRPr="000C5FFE">
        <w:rPr>
          <w:i/>
          <w:iCs/>
        </w:rPr>
        <w:t>For the explicit HARQ-ACK feedback signaling,</w:t>
      </w:r>
    </w:p>
    <w:p w14:paraId="3410B3E2" w14:textId="77777777" w:rsidR="000C5FFE" w:rsidRPr="000C5FFE" w:rsidRDefault="000C5FFE" w:rsidP="000C5FFE">
      <w:pPr>
        <w:pStyle w:val="ListParagraph"/>
        <w:numPr>
          <w:ilvl w:val="1"/>
          <w:numId w:val="16"/>
        </w:numPr>
        <w:spacing w:after="180"/>
        <w:ind w:right="-99"/>
        <w:rPr>
          <w:i/>
          <w:iCs/>
        </w:rPr>
      </w:pPr>
      <w:r w:rsidRPr="000C5FFE">
        <w:rPr>
          <w:i/>
          <w:iCs/>
        </w:rPr>
        <w:t>For CE mode A, unused state(s) in the “resource assignment” field in DCI format 6-0A is used to indicate explicit HARQ-ACK feedback for a single UE.</w:t>
      </w:r>
    </w:p>
    <w:p w14:paraId="7FD1B293" w14:textId="77777777" w:rsidR="000C5FFE" w:rsidRPr="000C5FFE" w:rsidRDefault="000C5FFE" w:rsidP="000C5FFE">
      <w:pPr>
        <w:pStyle w:val="ListParagraph"/>
        <w:numPr>
          <w:ilvl w:val="2"/>
          <w:numId w:val="16"/>
        </w:numPr>
        <w:spacing w:after="180"/>
        <w:ind w:right="-99"/>
        <w:rPr>
          <w:i/>
          <w:iCs/>
        </w:rPr>
      </w:pPr>
      <w:r w:rsidRPr="000C5FFE">
        <w:rPr>
          <w:i/>
          <w:iCs/>
        </w:rPr>
        <w:t>FFS: If other fields are set to predetermined values</w:t>
      </w:r>
    </w:p>
    <w:p w14:paraId="2ABCAA90" w14:textId="77777777" w:rsidR="000C5FFE" w:rsidRPr="000C5FFE" w:rsidRDefault="000C5FFE" w:rsidP="000C5FFE">
      <w:pPr>
        <w:pStyle w:val="ListParagraph"/>
        <w:numPr>
          <w:ilvl w:val="1"/>
          <w:numId w:val="16"/>
        </w:numPr>
        <w:spacing w:after="180"/>
        <w:ind w:right="-99"/>
        <w:rPr>
          <w:i/>
          <w:iCs/>
        </w:rPr>
      </w:pPr>
      <w:r w:rsidRPr="000C5FFE">
        <w:rPr>
          <w:i/>
          <w:iCs/>
        </w:rPr>
        <w:t>For CE mode B, unused state(s) in the “MCS” field in DCI format 6-0B is used to indicate explicit HARQ-ACK feedback for a single UE.</w:t>
      </w:r>
    </w:p>
    <w:p w14:paraId="22E82537" w14:textId="77777777" w:rsidR="000C5FFE" w:rsidRPr="000C5FFE" w:rsidRDefault="000C5FFE" w:rsidP="000C5FFE">
      <w:pPr>
        <w:pStyle w:val="ListParagraph"/>
        <w:numPr>
          <w:ilvl w:val="2"/>
          <w:numId w:val="16"/>
        </w:numPr>
        <w:spacing w:after="180"/>
        <w:ind w:right="-99"/>
        <w:rPr>
          <w:i/>
          <w:iCs/>
        </w:rPr>
      </w:pPr>
      <w:r w:rsidRPr="000C5FFE">
        <w:rPr>
          <w:i/>
          <w:iCs/>
        </w:rPr>
        <w:t>FFS: If other fields are set to predetermined values</w:t>
      </w:r>
    </w:p>
    <w:bookmarkEnd w:id="1"/>
    <w:p w14:paraId="3EE86CB9" w14:textId="77777777" w:rsidR="000C5FFE" w:rsidRPr="000C5FFE" w:rsidRDefault="000C5FFE" w:rsidP="000C5FFE">
      <w:pPr>
        <w:pStyle w:val="ListParagraph"/>
        <w:numPr>
          <w:ilvl w:val="0"/>
          <w:numId w:val="16"/>
        </w:numPr>
        <w:spacing w:after="180"/>
        <w:ind w:right="-99"/>
        <w:rPr>
          <w:i/>
          <w:iCs/>
        </w:rPr>
      </w:pPr>
      <w:r w:rsidRPr="000C5FFE">
        <w:rPr>
          <w:i/>
          <w:iCs/>
        </w:rPr>
        <w:t>Working assumption:</w:t>
      </w:r>
    </w:p>
    <w:p w14:paraId="759FC275" w14:textId="77777777" w:rsidR="000C5FFE" w:rsidRPr="000C5FFE" w:rsidRDefault="000C5FFE" w:rsidP="000C5FFE">
      <w:pPr>
        <w:pStyle w:val="ListParagraph"/>
        <w:numPr>
          <w:ilvl w:val="1"/>
          <w:numId w:val="16"/>
        </w:numPr>
        <w:spacing w:after="180"/>
        <w:ind w:right="-99"/>
        <w:rPr>
          <w:i/>
          <w:iCs/>
        </w:rPr>
      </w:pPr>
      <w:r w:rsidRPr="000C5FFE">
        <w:rPr>
          <w:i/>
          <w:iCs/>
        </w:rPr>
        <w:t>One unused DCI state in each CE mode is used for indicating:</w:t>
      </w:r>
    </w:p>
    <w:p w14:paraId="0CF3E6C3" w14:textId="77777777" w:rsidR="000C5FFE" w:rsidRPr="000C5FFE" w:rsidRDefault="000C5FFE" w:rsidP="000C5FFE">
      <w:pPr>
        <w:pStyle w:val="ListParagraph"/>
        <w:numPr>
          <w:ilvl w:val="2"/>
          <w:numId w:val="16"/>
        </w:numPr>
        <w:spacing w:after="180"/>
        <w:ind w:right="-99"/>
        <w:rPr>
          <w:i/>
          <w:iCs/>
        </w:rPr>
      </w:pPr>
      <w:r w:rsidRPr="000C5FFE">
        <w:rPr>
          <w:i/>
          <w:iCs/>
        </w:rPr>
        <w:t>Early termination of MPDCCH monitoring and early termination of any ongoing PUSCH transmission</w:t>
      </w:r>
    </w:p>
    <w:p w14:paraId="03E87BD1" w14:textId="77777777" w:rsidR="000C5FFE" w:rsidRPr="000C5FFE" w:rsidRDefault="000C5FFE" w:rsidP="000C5FFE">
      <w:pPr>
        <w:pStyle w:val="ListParagraph"/>
        <w:numPr>
          <w:ilvl w:val="1"/>
          <w:numId w:val="16"/>
        </w:numPr>
        <w:spacing w:after="180"/>
        <w:ind w:right="-99"/>
        <w:rPr>
          <w:i/>
          <w:iCs/>
        </w:rPr>
      </w:pPr>
      <w:r w:rsidRPr="000C5FFE">
        <w:rPr>
          <w:i/>
          <w:iCs/>
        </w:rPr>
        <w:t>Another unused DCI state in each CE mode is used for indicating:</w:t>
      </w:r>
    </w:p>
    <w:p w14:paraId="08E2C484" w14:textId="77777777" w:rsidR="000C5FFE" w:rsidRPr="000C5FFE" w:rsidRDefault="000C5FFE" w:rsidP="000C5FFE">
      <w:pPr>
        <w:pStyle w:val="ListParagraph"/>
        <w:numPr>
          <w:ilvl w:val="2"/>
          <w:numId w:val="16"/>
        </w:numPr>
        <w:spacing w:after="180"/>
        <w:ind w:right="-99"/>
        <w:rPr>
          <w:i/>
          <w:iCs/>
        </w:rPr>
      </w:pPr>
      <w:r w:rsidRPr="000C5FFE">
        <w:rPr>
          <w:i/>
          <w:iCs/>
        </w:rPr>
        <w:t>Early termination of any ongoing PUSCH transmission (without early termination of MPDCCH monitoring)</w:t>
      </w:r>
    </w:p>
    <w:p w14:paraId="7E99A948" w14:textId="7C92DE53" w:rsidR="000C5FFE" w:rsidRDefault="000C5FFE" w:rsidP="000C5FFE">
      <w:pPr>
        <w:pStyle w:val="ListParagraph"/>
        <w:numPr>
          <w:ilvl w:val="1"/>
          <w:numId w:val="16"/>
        </w:numPr>
        <w:spacing w:after="180"/>
        <w:ind w:right="-99"/>
        <w:rPr>
          <w:i/>
          <w:iCs/>
        </w:rPr>
      </w:pPr>
      <w:r w:rsidRPr="000C5FFE">
        <w:rPr>
          <w:i/>
          <w:iCs/>
        </w:rPr>
        <w:t>It can be left up to RAN2 whether the new feedback signaling should also be used for termination of MPDCCH monitoring not related to UL HARQ (re)transmissions (e.g. MPDCCH monitoring related to DL transmissions).</w:t>
      </w:r>
    </w:p>
    <w:p w14:paraId="3D5AFD46" w14:textId="56F7AB70" w:rsidR="0076507D" w:rsidRPr="0076507D" w:rsidRDefault="00BF7188" w:rsidP="00BF7188">
      <w:pPr>
        <w:pStyle w:val="ListParagraph"/>
        <w:numPr>
          <w:ilvl w:val="0"/>
          <w:numId w:val="16"/>
        </w:numPr>
        <w:spacing w:after="180"/>
        <w:ind w:right="-99"/>
        <w:rPr>
          <w:rFonts w:cs="Arial"/>
          <w:i/>
        </w:rPr>
      </w:pPr>
      <w:r w:rsidRPr="00BF7188">
        <w:rPr>
          <w:rFonts w:cs="Arial"/>
          <w:i/>
        </w:rPr>
        <w:t>An LS was sent to RAN2 in</w:t>
      </w:r>
      <w:r w:rsidRPr="00BF7188">
        <w:rPr>
          <w:rFonts w:cs="Arial"/>
          <w:i/>
          <w:iCs/>
        </w:rPr>
        <w:t xml:space="preserve"> </w:t>
      </w:r>
      <w:r>
        <w:rPr>
          <w:rFonts w:cs="Arial"/>
          <w:i/>
        </w:rPr>
        <w:fldChar w:fldCharType="begin"/>
      </w:r>
      <w:r>
        <w:rPr>
          <w:rFonts w:cs="Arial"/>
          <w:i/>
          <w:iCs/>
        </w:rPr>
        <w:instrText xml:space="preserve"> REF _Ref506454871 \r \h </w:instrText>
      </w:r>
      <w:r>
        <w:rPr>
          <w:rFonts w:cs="Arial"/>
          <w:i/>
        </w:rPr>
      </w:r>
      <w:r>
        <w:rPr>
          <w:rFonts w:cs="Arial"/>
          <w:i/>
        </w:rPr>
        <w:fldChar w:fldCharType="separate"/>
      </w:r>
      <w:r w:rsidR="00D005B4">
        <w:rPr>
          <w:rFonts w:cs="Arial"/>
          <w:i/>
          <w:iCs/>
        </w:rPr>
        <w:t>[3]</w:t>
      </w:r>
      <w:r>
        <w:rPr>
          <w:rFonts w:cs="Arial"/>
          <w:i/>
        </w:rPr>
        <w:fldChar w:fldCharType="end"/>
      </w:r>
      <w:r w:rsidRPr="00BF7188">
        <w:rPr>
          <w:rFonts w:cs="Arial"/>
          <w:i/>
          <w:iCs/>
        </w:rPr>
        <w:t xml:space="preserve"> asking for feedback on </w:t>
      </w:r>
      <w:r w:rsidR="0076507D">
        <w:rPr>
          <w:rFonts w:cs="Arial"/>
          <w:i/>
          <w:iCs/>
        </w:rPr>
        <w:t xml:space="preserve">the </w:t>
      </w:r>
      <w:r w:rsidRPr="00BF7188">
        <w:rPr>
          <w:rFonts w:cs="Arial"/>
          <w:i/>
          <w:iCs/>
        </w:rPr>
        <w:t>above working assumption</w:t>
      </w:r>
      <w:r w:rsidR="0076507D">
        <w:rPr>
          <w:rFonts w:cs="Arial"/>
          <w:i/>
          <w:iCs/>
        </w:rPr>
        <w:t xml:space="preserve"> and on the following:</w:t>
      </w:r>
    </w:p>
    <w:p w14:paraId="64A87668" w14:textId="77777777" w:rsidR="00871783" w:rsidRPr="00871783" w:rsidRDefault="00871783" w:rsidP="00871783">
      <w:pPr>
        <w:pStyle w:val="ListParagraph"/>
        <w:numPr>
          <w:ilvl w:val="1"/>
          <w:numId w:val="16"/>
        </w:numPr>
        <w:rPr>
          <w:rFonts w:cs="Arial"/>
          <w:i/>
          <w:iCs/>
          <w:lang w:eastAsia="ko-KR"/>
        </w:rPr>
      </w:pPr>
      <w:r w:rsidRPr="00871783">
        <w:rPr>
          <w:rFonts w:cs="Arial"/>
          <w:i/>
          <w:iCs/>
          <w:lang w:eastAsia="ko-KR"/>
        </w:rPr>
        <w:t>For early termination of MPDCCH monitoring, RAN1 assumed that this may be used in the following cases:</w:t>
      </w:r>
    </w:p>
    <w:p w14:paraId="2DD35783" w14:textId="77777777" w:rsidR="00871783" w:rsidRPr="00871783" w:rsidRDefault="00871783" w:rsidP="004E78C1">
      <w:pPr>
        <w:pStyle w:val="ListParagraph"/>
        <w:numPr>
          <w:ilvl w:val="2"/>
          <w:numId w:val="16"/>
        </w:numPr>
        <w:rPr>
          <w:rFonts w:cs="Arial"/>
          <w:i/>
          <w:iCs/>
          <w:lang w:eastAsia="ko-KR"/>
        </w:rPr>
      </w:pPr>
      <w:r w:rsidRPr="00871783">
        <w:rPr>
          <w:rFonts w:cs="Arial"/>
          <w:i/>
          <w:iCs/>
          <w:lang w:eastAsia="ko-KR"/>
        </w:rPr>
        <w:t xml:space="preserve">1) To </w:t>
      </w:r>
      <w:r w:rsidRPr="00871783">
        <w:rPr>
          <w:i/>
        </w:rPr>
        <w:t>acknowledge the receipt of the RRCConnectionRelease message.</w:t>
      </w:r>
    </w:p>
    <w:p w14:paraId="1FD118D4" w14:textId="77777777" w:rsidR="00871783" w:rsidRPr="00871783" w:rsidRDefault="00871783" w:rsidP="004E78C1">
      <w:pPr>
        <w:pStyle w:val="ListParagraph"/>
        <w:numPr>
          <w:ilvl w:val="2"/>
          <w:numId w:val="16"/>
        </w:numPr>
        <w:rPr>
          <w:rFonts w:cs="Arial"/>
          <w:i/>
          <w:iCs/>
          <w:lang w:eastAsia="ko-KR"/>
        </w:rPr>
      </w:pPr>
      <w:r w:rsidRPr="00871783">
        <w:rPr>
          <w:rFonts w:cs="Arial"/>
          <w:i/>
          <w:iCs/>
          <w:lang w:eastAsia="ko-KR"/>
        </w:rPr>
        <w:t>2) To acknowledge all pending uplink HARQ processes, so that the UE may transition to DRX earlier.</w:t>
      </w:r>
    </w:p>
    <w:p w14:paraId="596D9BBE" w14:textId="77777777" w:rsidR="00871783" w:rsidRPr="00871783" w:rsidRDefault="00871783" w:rsidP="00871783">
      <w:pPr>
        <w:pStyle w:val="ListParagraph"/>
        <w:numPr>
          <w:ilvl w:val="1"/>
          <w:numId w:val="16"/>
        </w:numPr>
        <w:rPr>
          <w:rFonts w:cs="Arial"/>
          <w:i/>
          <w:iCs/>
          <w:lang w:eastAsia="ko-KR"/>
        </w:rPr>
      </w:pPr>
      <w:r w:rsidRPr="00871783">
        <w:rPr>
          <w:rFonts w:cs="Arial"/>
          <w:i/>
          <w:iCs/>
          <w:lang w:eastAsia="ko-KR"/>
        </w:rPr>
        <w:t>It is RAN1 understanding that the Case 1 does not need any change to RAN2 specification. For Case 2, RAN1 would like to ask RAN2 if that use case will be/is supported by RAN2 for early termination of MPDCCH monitoring. In case it is not and will not be, RAN1 will revisit the working assumption.</w:t>
      </w:r>
    </w:p>
    <w:p w14:paraId="20C37960" w14:textId="09C7B7B1" w:rsidR="00D559EB" w:rsidRDefault="00D559EB" w:rsidP="00D559EB">
      <w:pPr>
        <w:spacing w:after="180"/>
        <w:ind w:right="-99"/>
        <w:rPr>
          <w:rFonts w:cs="Arial"/>
        </w:rPr>
      </w:pPr>
      <w:r>
        <w:rPr>
          <w:rFonts w:cs="Arial"/>
        </w:rPr>
        <w:t xml:space="preserve">RAN2#101 sent a reply LS to RAN1 in </w:t>
      </w:r>
      <w:r>
        <w:rPr>
          <w:rFonts w:cs="Arial"/>
        </w:rPr>
        <w:fldChar w:fldCharType="begin"/>
      </w:r>
      <w:r>
        <w:rPr>
          <w:rFonts w:cs="Arial"/>
        </w:rPr>
        <w:instrText xml:space="preserve"> REF _Ref510098199 \r \h </w:instrText>
      </w:r>
      <w:r>
        <w:rPr>
          <w:rFonts w:cs="Arial"/>
        </w:rPr>
      </w:r>
      <w:r>
        <w:rPr>
          <w:rFonts w:cs="Arial"/>
        </w:rPr>
        <w:fldChar w:fldCharType="separate"/>
      </w:r>
      <w:r w:rsidR="00D005B4">
        <w:rPr>
          <w:rFonts w:cs="Arial"/>
        </w:rPr>
        <w:t>[4]</w:t>
      </w:r>
      <w:r>
        <w:rPr>
          <w:rFonts w:cs="Arial"/>
        </w:rPr>
        <w:fldChar w:fldCharType="end"/>
      </w:r>
      <w:r>
        <w:rPr>
          <w:rFonts w:cs="Arial"/>
        </w:rPr>
        <w:t xml:space="preserve"> with the following answer:</w:t>
      </w:r>
    </w:p>
    <w:p w14:paraId="06142953" w14:textId="77777777" w:rsidR="00D559EB" w:rsidRPr="00521B3B" w:rsidRDefault="00D559EB" w:rsidP="00D559EB">
      <w:pPr>
        <w:pStyle w:val="ListParagraph"/>
        <w:numPr>
          <w:ilvl w:val="0"/>
          <w:numId w:val="19"/>
        </w:numPr>
        <w:spacing w:after="180"/>
        <w:ind w:right="-99"/>
        <w:rPr>
          <w:rFonts w:cs="Arial"/>
          <w:i/>
        </w:rPr>
      </w:pPr>
      <w:r w:rsidRPr="00521B3B">
        <w:rPr>
          <w:rFonts w:cs="Arial"/>
          <w:i/>
        </w:rPr>
        <w:t xml:space="preserve">RAN2 assumes that with </w:t>
      </w:r>
      <w:r>
        <w:rPr>
          <w:rFonts w:cs="Arial"/>
          <w:i/>
        </w:rPr>
        <w:t>“</w:t>
      </w:r>
      <w:r w:rsidRPr="00521B3B">
        <w:rPr>
          <w:rFonts w:cs="Arial"/>
          <w:i/>
        </w:rPr>
        <w:t>early termination of MPDCCH monitoring</w:t>
      </w:r>
      <w:r>
        <w:rPr>
          <w:rFonts w:cs="Arial"/>
          <w:i/>
        </w:rPr>
        <w:t>”</w:t>
      </w:r>
      <w:r w:rsidRPr="00521B3B">
        <w:rPr>
          <w:rFonts w:cs="Arial"/>
          <w:i/>
        </w:rPr>
        <w:t>, RAN1 intends to refer to early termination of MPDCCH monitoring and early termination of any ongoing PUSCH transmission.</w:t>
      </w:r>
    </w:p>
    <w:p w14:paraId="4E8219A3" w14:textId="77777777" w:rsidR="00D559EB" w:rsidRPr="00521B3B" w:rsidRDefault="00D559EB" w:rsidP="00D559EB">
      <w:pPr>
        <w:pStyle w:val="ListParagraph"/>
        <w:numPr>
          <w:ilvl w:val="0"/>
          <w:numId w:val="19"/>
        </w:numPr>
        <w:spacing w:after="180"/>
        <w:ind w:right="-99"/>
        <w:rPr>
          <w:rFonts w:cs="Arial"/>
          <w:i/>
        </w:rPr>
      </w:pPr>
      <w:r w:rsidRPr="00521B3B">
        <w:rPr>
          <w:rFonts w:cs="Arial"/>
          <w:i/>
        </w:rPr>
        <w:t>For case 1; RAN2 thinks that UL explicit HARQ-ACK for early termination of MPDCCH monitoring and early termination of any ongoing PUSCH transmission can be used to acknowledge the receipt of the RRCConnectionRelease message. RAN2 assumes no changes in RAN2 specification to capture this agreement.</w:t>
      </w:r>
    </w:p>
    <w:p w14:paraId="701E5CCD" w14:textId="77777777" w:rsidR="00D559EB" w:rsidRPr="00521B3B" w:rsidRDefault="00D559EB" w:rsidP="00D559EB">
      <w:pPr>
        <w:pStyle w:val="ListParagraph"/>
        <w:numPr>
          <w:ilvl w:val="0"/>
          <w:numId w:val="19"/>
        </w:numPr>
        <w:spacing w:after="180"/>
        <w:ind w:right="-99"/>
        <w:rPr>
          <w:rFonts w:cs="Arial"/>
          <w:i/>
        </w:rPr>
      </w:pPr>
      <w:r w:rsidRPr="00521B3B">
        <w:rPr>
          <w:rFonts w:cs="Arial"/>
          <w:i/>
        </w:rPr>
        <w:lastRenderedPageBreak/>
        <w:t>For case 2; RAN2 thinks that using an explicit HARQ-ACK feedback to acknowledge all pending UL HARQ processes is not efficient with respect to UE power consumption. RAN2 agreed that this use case is not supported.</w:t>
      </w:r>
    </w:p>
    <w:p w14:paraId="77E83333" w14:textId="7175A746" w:rsidR="00505BAF" w:rsidRPr="00F53306" w:rsidRDefault="00505BAF" w:rsidP="00505BAF">
      <w:pPr>
        <w:spacing w:after="180"/>
        <w:ind w:right="-99"/>
      </w:pPr>
      <w:r>
        <w:t>RAN1#92</w:t>
      </w:r>
      <w:r w:rsidRPr="00F53306">
        <w:t xml:space="preserve"> made the following agreement</w:t>
      </w:r>
      <w:r>
        <w:t>s</w:t>
      </w:r>
      <w:r w:rsidRPr="00F53306">
        <w:t>:</w:t>
      </w:r>
    </w:p>
    <w:p w14:paraId="4EF5DD22" w14:textId="7B60F474" w:rsidR="00505BAF" w:rsidRPr="00505BAF" w:rsidRDefault="00505BAF" w:rsidP="00505BAF">
      <w:pPr>
        <w:pStyle w:val="ListParagraph"/>
        <w:numPr>
          <w:ilvl w:val="0"/>
          <w:numId w:val="16"/>
        </w:numPr>
        <w:spacing w:after="180"/>
        <w:ind w:right="-99"/>
        <w:rPr>
          <w:rFonts w:cs="Arial"/>
          <w:i/>
        </w:rPr>
      </w:pPr>
      <w:r w:rsidRPr="00505BAF">
        <w:rPr>
          <w:rFonts w:cs="Arial"/>
          <w:i/>
        </w:rPr>
        <w:t>Upon receiving a PUSCH early termination DCI ending in subframe n, the UE shall stop the ongoing PUSCH transmission no later than in subframe n+k, with k following legacy MPDCCH-to-PUSCH timing.</w:t>
      </w:r>
    </w:p>
    <w:p w14:paraId="493140BC" w14:textId="555D5933" w:rsidR="00505BAF" w:rsidRDefault="00505BAF" w:rsidP="00505BAF">
      <w:pPr>
        <w:pStyle w:val="ListParagraph"/>
        <w:numPr>
          <w:ilvl w:val="0"/>
          <w:numId w:val="16"/>
        </w:numPr>
        <w:spacing w:after="180"/>
        <w:ind w:right="-99"/>
        <w:rPr>
          <w:rFonts w:cs="Arial"/>
          <w:i/>
        </w:rPr>
      </w:pPr>
      <w:r w:rsidRPr="00505BAF">
        <w:rPr>
          <w:rFonts w:cs="Arial"/>
          <w:i/>
        </w:rPr>
        <w:t>For HD-FDD, early termination of PUSCH transmission is not supported in Rel-15.</w:t>
      </w:r>
    </w:p>
    <w:p w14:paraId="51DB8731" w14:textId="42EDE2C8" w:rsidR="002E2502" w:rsidRDefault="0035470C" w:rsidP="002E2502">
      <w:pPr>
        <w:pStyle w:val="Heading1"/>
      </w:pPr>
      <w:r>
        <w:t>Signal for multiple UEs</w:t>
      </w:r>
    </w:p>
    <w:p w14:paraId="12E1341E" w14:textId="160AFE10" w:rsidR="00266540" w:rsidRDefault="00266540" w:rsidP="001D466D">
      <w:pPr>
        <w:rPr>
          <w:rFonts w:eastAsia="SimSun"/>
        </w:rPr>
      </w:pPr>
      <w:r>
        <w:rPr>
          <w:rFonts w:eastAsia="SimSun"/>
        </w:rPr>
        <w:t>Introduction of explicit HARQ-ACK feedback for multiple UEs carried in a single DCI would come with significant impacts on specifications and implementations. New DCI definitions as well as (in CE mode B) a new common MPDCCH search space definition would be required. The impacts would be substantially larger than the impacts from the already agreed explicit HARQ-ACK feedback for a single UE.</w:t>
      </w:r>
    </w:p>
    <w:p w14:paraId="75D7B542" w14:textId="5AF20CC8" w:rsidR="00BD4BD5" w:rsidRDefault="00027E3D" w:rsidP="001D466D">
      <w:pPr>
        <w:rPr>
          <w:rFonts w:eastAsia="SimSun"/>
        </w:rPr>
      </w:pPr>
      <w:r>
        <w:rPr>
          <w:rFonts w:eastAsia="SimSun"/>
        </w:rPr>
        <w:t>Different BL/CE UEs may be scheduled at different points in time, with different numbers of repetitions, in different narrowbands. Therefor</w:t>
      </w:r>
      <w:r w:rsidR="00B802BF">
        <w:rPr>
          <w:rFonts w:eastAsia="SimSun"/>
        </w:rPr>
        <w:t>e, the potential syner</w:t>
      </w:r>
      <w:r w:rsidR="0052358D">
        <w:rPr>
          <w:rFonts w:eastAsia="SimSun"/>
        </w:rPr>
        <w:t>g</w:t>
      </w:r>
      <w:r w:rsidR="00836E5E">
        <w:rPr>
          <w:rFonts w:eastAsia="SimSun"/>
        </w:rPr>
        <w:t xml:space="preserve">ies </w:t>
      </w:r>
      <w:r w:rsidR="0052358D">
        <w:rPr>
          <w:rFonts w:eastAsia="SimSun"/>
        </w:rPr>
        <w:t xml:space="preserve">from </w:t>
      </w:r>
      <w:r w:rsidR="00FC64CE">
        <w:rPr>
          <w:rFonts w:eastAsia="SimSun"/>
        </w:rPr>
        <w:t>supporting e</w:t>
      </w:r>
      <w:r w:rsidR="00FC64CE" w:rsidRPr="00FC64CE">
        <w:rPr>
          <w:rFonts w:eastAsia="SimSun"/>
        </w:rPr>
        <w:t>xplicit HARQ-ACK feedback for multiple UEs carried in a</w:t>
      </w:r>
      <w:r w:rsidR="00FC64CE">
        <w:rPr>
          <w:rFonts w:eastAsia="SimSun"/>
        </w:rPr>
        <w:t xml:space="preserve"> single</w:t>
      </w:r>
      <w:r w:rsidR="00FC64CE" w:rsidRPr="00FC64CE">
        <w:rPr>
          <w:rFonts w:eastAsia="SimSun"/>
        </w:rPr>
        <w:t xml:space="preserve"> DCI</w:t>
      </w:r>
      <w:r w:rsidR="00B802BF">
        <w:rPr>
          <w:rFonts w:eastAsia="SimSun"/>
        </w:rPr>
        <w:t xml:space="preserve"> may be very limited.</w:t>
      </w:r>
    </w:p>
    <w:p w14:paraId="0FF1FD6D" w14:textId="228B8ABC" w:rsidR="00DC5A2C" w:rsidRDefault="002530BF" w:rsidP="001D466D">
      <w:pPr>
        <w:rPr>
          <w:rFonts w:eastAsia="SimSun"/>
        </w:rPr>
      </w:pPr>
      <w:r>
        <w:rPr>
          <w:rFonts w:eastAsia="SimSun"/>
        </w:rPr>
        <w:t xml:space="preserve">As an illustrative example, </w:t>
      </w:r>
      <w:r w:rsidR="002F2A64">
        <w:rPr>
          <w:rFonts w:eastAsia="SimSun"/>
        </w:rPr>
        <w:fldChar w:fldCharType="begin"/>
      </w:r>
      <w:r w:rsidR="002F2A64">
        <w:rPr>
          <w:rFonts w:eastAsia="SimSun"/>
        </w:rPr>
        <w:instrText xml:space="preserve"> REF _Ref506393812 \h </w:instrText>
      </w:r>
      <w:r w:rsidR="002F2A64">
        <w:rPr>
          <w:rFonts w:eastAsia="SimSun"/>
        </w:rPr>
      </w:r>
      <w:r w:rsidR="002F2A64">
        <w:rPr>
          <w:rFonts w:eastAsia="SimSun"/>
        </w:rPr>
        <w:fldChar w:fldCharType="separate"/>
      </w:r>
      <w:r w:rsidR="00D005B4" w:rsidRPr="00DC5A2C">
        <w:t xml:space="preserve">Figure </w:t>
      </w:r>
      <w:r w:rsidR="00D005B4">
        <w:rPr>
          <w:noProof/>
        </w:rPr>
        <w:t>1</w:t>
      </w:r>
      <w:r w:rsidR="002F2A64">
        <w:rPr>
          <w:rFonts w:eastAsia="SimSun"/>
        </w:rPr>
        <w:fldChar w:fldCharType="end"/>
      </w:r>
      <w:r w:rsidR="002F2A64">
        <w:rPr>
          <w:rFonts w:eastAsia="SimSun"/>
        </w:rPr>
        <w:t xml:space="preserve"> and </w:t>
      </w:r>
      <w:r w:rsidR="002F2A64">
        <w:rPr>
          <w:rFonts w:eastAsia="SimSun"/>
        </w:rPr>
        <w:fldChar w:fldCharType="begin"/>
      </w:r>
      <w:r w:rsidR="002F2A64">
        <w:rPr>
          <w:rFonts w:eastAsia="SimSun"/>
        </w:rPr>
        <w:instrText xml:space="preserve"> REF _Ref506393813 \h </w:instrText>
      </w:r>
      <w:r w:rsidR="002F2A64">
        <w:rPr>
          <w:rFonts w:eastAsia="SimSun"/>
        </w:rPr>
      </w:r>
      <w:r w:rsidR="002F2A64">
        <w:rPr>
          <w:rFonts w:eastAsia="SimSun"/>
        </w:rPr>
        <w:fldChar w:fldCharType="separate"/>
      </w:r>
      <w:r w:rsidR="00D005B4" w:rsidRPr="00DC5A2C">
        <w:t xml:space="preserve">Figure </w:t>
      </w:r>
      <w:r w:rsidR="00D005B4">
        <w:rPr>
          <w:noProof/>
        </w:rPr>
        <w:t>2</w:t>
      </w:r>
      <w:r w:rsidR="002F2A64">
        <w:rPr>
          <w:rFonts w:eastAsia="SimSun"/>
        </w:rPr>
        <w:fldChar w:fldCharType="end"/>
      </w:r>
      <w:r w:rsidR="002F2A64">
        <w:rPr>
          <w:rFonts w:eastAsia="SimSun"/>
        </w:rPr>
        <w:t xml:space="preserve"> </w:t>
      </w:r>
      <w:r>
        <w:rPr>
          <w:rFonts w:eastAsia="SimSun"/>
        </w:rPr>
        <w:t>show</w:t>
      </w:r>
      <w:r w:rsidR="002F2A64">
        <w:rPr>
          <w:rFonts w:eastAsia="SimSun"/>
        </w:rPr>
        <w:t xml:space="preserve"> the coupling gain distribution and UL transmission duration, respectively, </w:t>
      </w:r>
      <w:r>
        <w:rPr>
          <w:rFonts w:eastAsia="SimSun"/>
        </w:rPr>
        <w:t xml:space="preserve">from IMT-2020 mMTC connection density system simulations presented in </w:t>
      </w:r>
      <w:r>
        <w:rPr>
          <w:rFonts w:eastAsia="SimSun"/>
        </w:rPr>
        <w:fldChar w:fldCharType="begin"/>
      </w:r>
      <w:r>
        <w:rPr>
          <w:rFonts w:eastAsia="SimSun"/>
        </w:rPr>
        <w:instrText xml:space="preserve"> REF _Ref506393525 \r \h </w:instrText>
      </w:r>
      <w:r>
        <w:rPr>
          <w:rFonts w:eastAsia="SimSun"/>
        </w:rPr>
      </w:r>
      <w:r>
        <w:rPr>
          <w:rFonts w:eastAsia="SimSun"/>
        </w:rPr>
        <w:fldChar w:fldCharType="separate"/>
      </w:r>
      <w:r w:rsidR="00D005B4">
        <w:rPr>
          <w:rFonts w:eastAsia="SimSun"/>
        </w:rPr>
        <w:t>[5]</w:t>
      </w:r>
      <w:r>
        <w:rPr>
          <w:rFonts w:eastAsia="SimSun"/>
        </w:rPr>
        <w:fldChar w:fldCharType="end"/>
      </w:r>
      <w:r>
        <w:rPr>
          <w:rFonts w:eastAsia="SimSun"/>
        </w:rPr>
        <w:t>.</w:t>
      </w:r>
      <w:r w:rsidR="002D05BC">
        <w:rPr>
          <w:rFonts w:eastAsia="SimSun"/>
        </w:rPr>
        <w:t xml:space="preserve"> It can be seen from </w:t>
      </w:r>
      <w:r w:rsidR="002D05BC">
        <w:rPr>
          <w:rFonts w:eastAsia="SimSun"/>
        </w:rPr>
        <w:fldChar w:fldCharType="begin"/>
      </w:r>
      <w:r w:rsidR="002D05BC">
        <w:rPr>
          <w:rFonts w:eastAsia="SimSun"/>
        </w:rPr>
        <w:instrText xml:space="preserve"> REF _Ref506393813 \h </w:instrText>
      </w:r>
      <w:r w:rsidR="002D05BC">
        <w:rPr>
          <w:rFonts w:eastAsia="SimSun"/>
        </w:rPr>
      </w:r>
      <w:r w:rsidR="002D05BC">
        <w:rPr>
          <w:rFonts w:eastAsia="SimSun"/>
        </w:rPr>
        <w:fldChar w:fldCharType="separate"/>
      </w:r>
      <w:r w:rsidR="00D005B4" w:rsidRPr="00DC5A2C">
        <w:t xml:space="preserve">Figure </w:t>
      </w:r>
      <w:r w:rsidR="00D005B4">
        <w:rPr>
          <w:noProof/>
        </w:rPr>
        <w:t>2</w:t>
      </w:r>
      <w:r w:rsidR="002D05BC">
        <w:rPr>
          <w:rFonts w:eastAsia="SimSun"/>
        </w:rPr>
        <w:fldChar w:fldCharType="end"/>
      </w:r>
      <w:r w:rsidR="002D05BC">
        <w:rPr>
          <w:rFonts w:eastAsia="SimSun"/>
        </w:rPr>
        <w:t xml:space="preserve"> that even in the more challenging scenario (Configuration B), the number of subframe repetitions is usually very small and rarely more than a dozen or so.</w:t>
      </w:r>
    </w:p>
    <w:p w14:paraId="40F06DB8" w14:textId="2110EA46" w:rsidR="002D05BC" w:rsidRPr="00F53306" w:rsidRDefault="002D05BC" w:rsidP="002D05BC">
      <w:pPr>
        <w:pStyle w:val="Proposal"/>
      </w:pPr>
      <w:bookmarkStart w:id="2" w:name="_Toc494467095"/>
      <w:bookmarkStart w:id="3" w:name="_Toc494467205"/>
      <w:bookmarkStart w:id="4" w:name="_Toc494467236"/>
      <w:bookmarkStart w:id="5" w:name="_Toc494467283"/>
      <w:bookmarkStart w:id="6" w:name="_Toc494467804"/>
      <w:bookmarkStart w:id="7" w:name="_Toc494468011"/>
      <w:bookmarkStart w:id="8" w:name="_Toc494468043"/>
      <w:bookmarkStart w:id="9" w:name="_Toc494468057"/>
      <w:bookmarkStart w:id="10" w:name="_Toc494468095"/>
      <w:bookmarkStart w:id="11" w:name="_Toc498001408"/>
      <w:bookmarkStart w:id="12" w:name="_Toc498347115"/>
      <w:bookmarkStart w:id="13" w:name="_Toc505237179"/>
      <w:bookmarkStart w:id="14" w:name="_Toc505237444"/>
      <w:bookmarkStart w:id="15" w:name="_Toc505237495"/>
      <w:bookmarkStart w:id="16" w:name="_Toc505238326"/>
      <w:bookmarkStart w:id="17" w:name="_Toc506387644"/>
      <w:bookmarkStart w:id="18" w:name="_Toc506389117"/>
      <w:bookmarkStart w:id="19" w:name="_Toc506389253"/>
      <w:bookmarkStart w:id="20" w:name="_Toc506389458"/>
      <w:bookmarkStart w:id="21" w:name="_Toc506389758"/>
      <w:bookmarkStart w:id="22" w:name="_Toc506389924"/>
      <w:bookmarkStart w:id="23" w:name="_Toc506389949"/>
      <w:bookmarkStart w:id="24" w:name="_Toc506393276"/>
      <w:bookmarkStart w:id="25" w:name="_Toc506393531"/>
      <w:bookmarkStart w:id="26" w:name="_Toc506393554"/>
      <w:bookmarkStart w:id="27" w:name="_Toc506393647"/>
      <w:bookmarkStart w:id="28" w:name="_Toc506393806"/>
      <w:bookmarkStart w:id="29" w:name="_Toc506394246"/>
      <w:bookmarkStart w:id="30" w:name="_Toc506454840"/>
      <w:bookmarkStart w:id="31" w:name="_Toc506454878"/>
      <w:bookmarkStart w:id="32" w:name="_Toc506454940"/>
      <w:bookmarkStart w:id="33" w:name="_Toc506480323"/>
      <w:bookmarkStart w:id="34" w:name="_Toc510084184"/>
      <w:bookmarkStart w:id="35" w:name="_Toc510097853"/>
      <w:bookmarkStart w:id="36" w:name="_Toc510098188"/>
      <w:bookmarkStart w:id="37" w:name="_Toc510098206"/>
      <w:bookmarkStart w:id="38" w:name="_Toc510098351"/>
      <w:bookmarkStart w:id="39" w:name="_Toc510098374"/>
      <w:bookmarkStart w:id="40" w:name="_Toc510619994"/>
      <w:bookmarkStart w:id="41" w:name="_Toc510620029"/>
      <w:bookmarkStart w:id="42" w:name="_Toc510620147"/>
      <w:bookmarkStart w:id="43" w:name="_Toc510620301"/>
      <w:bookmarkStart w:id="44" w:name="_Toc510620661"/>
      <w:bookmarkStart w:id="45" w:name="_Toc510620718"/>
      <w:bookmarkStart w:id="46" w:name="_Toc510620765"/>
      <w:bookmarkStart w:id="47" w:name="_Toc510620774"/>
      <w:bookmarkStart w:id="48" w:name="_Toc510686698"/>
      <w:bookmarkStart w:id="49" w:name="_Toc510693554"/>
      <w:bookmarkStart w:id="50" w:name="_Toc510693565"/>
      <w:bookmarkStart w:id="51" w:name="_Toc510693919"/>
      <w:bookmarkStart w:id="52" w:name="_Toc510695510"/>
      <w:bookmarkStart w:id="53" w:name="_Toc510695612"/>
      <w:bookmarkStart w:id="54" w:name="_Toc510796494"/>
      <w:r>
        <w:t>Explicit HARQ-ACK feedback for multiple UEs carried in a single DCI is not considered further</w:t>
      </w:r>
      <w:r w:rsidR="00DB705B">
        <w:t xml:space="preserve"> in Rel-15</w:t>
      </w:r>
      <w:r w:rsidRPr="00F53306">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3B25B83" w14:textId="384B4D1A" w:rsidR="00DC5A2C" w:rsidRDefault="00DC5A2C" w:rsidP="001D466D">
      <w:pPr>
        <w:rPr>
          <w:rFonts w:eastAsia="SimSun"/>
        </w:rPr>
      </w:pPr>
      <w:r>
        <w:rPr>
          <w:noProof/>
          <w:sz w:val="16"/>
          <w:szCs w:val="16"/>
        </w:rPr>
        <w:lastRenderedPageBreak/>
        <w:drawing>
          <wp:inline distT="0" distB="0" distL="0" distR="0" wp14:anchorId="3BD9C360" wp14:editId="2C29070D">
            <wp:extent cx="5943600" cy="4417606"/>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70927_154718_pathloss_pathgain_sim_cdf.emf"/>
                    <pic:cNvPicPr/>
                  </pic:nvPicPr>
                  <pic:blipFill>
                    <a:blip r:embed="rId9">
                      <a:extLst>
                        <a:ext uri="{28A0092B-C50C-407E-A947-70E740481C1C}">
                          <a14:useLocalDpi xmlns:a14="http://schemas.microsoft.com/office/drawing/2010/main" val="0"/>
                        </a:ext>
                      </a:extLst>
                    </a:blip>
                    <a:stretch>
                      <a:fillRect/>
                    </a:stretch>
                  </pic:blipFill>
                  <pic:spPr>
                    <a:xfrm>
                      <a:off x="0" y="0"/>
                      <a:ext cx="5943600" cy="4417606"/>
                    </a:xfrm>
                    <a:prstGeom prst="rect">
                      <a:avLst/>
                    </a:prstGeom>
                  </pic:spPr>
                </pic:pic>
              </a:graphicData>
            </a:graphic>
          </wp:inline>
        </w:drawing>
      </w:r>
    </w:p>
    <w:p w14:paraId="1364E11D" w14:textId="28F5A7E8" w:rsidR="00DC5A2C" w:rsidRDefault="00DC5A2C" w:rsidP="00DC5A2C">
      <w:pPr>
        <w:pStyle w:val="Caption"/>
        <w:rPr>
          <w:rFonts w:eastAsia="SimSun"/>
        </w:rPr>
      </w:pPr>
      <w:bookmarkStart w:id="55" w:name="_Ref506393812"/>
      <w:r w:rsidRPr="00DC5A2C">
        <w:t xml:space="preserve">Figure </w:t>
      </w:r>
      <w:r>
        <w:fldChar w:fldCharType="begin"/>
      </w:r>
      <w:r w:rsidRPr="00DC5A2C">
        <w:instrText xml:space="preserve"> SEQ Figure \* ARABIC </w:instrText>
      </w:r>
      <w:r>
        <w:fldChar w:fldCharType="separate"/>
      </w:r>
      <w:r w:rsidR="00D005B4">
        <w:rPr>
          <w:noProof/>
        </w:rPr>
        <w:t>1</w:t>
      </w:r>
      <w:r>
        <w:fldChar w:fldCharType="end"/>
      </w:r>
      <w:bookmarkEnd w:id="55"/>
      <w:r w:rsidRPr="00DC5A2C">
        <w:t xml:space="preserve">: Coupling gain distribution for test environment Urban Macro mMTC based on settings in </w:t>
      </w:r>
      <w:r>
        <w:fldChar w:fldCharType="begin"/>
      </w:r>
      <w:r>
        <w:instrText xml:space="preserve"> REF _Ref506393525 \r \h </w:instrText>
      </w:r>
      <w:r>
        <w:fldChar w:fldCharType="separate"/>
      </w:r>
      <w:r w:rsidR="00D005B4">
        <w:t>[5]</w:t>
      </w:r>
      <w:r>
        <w:fldChar w:fldCharType="end"/>
      </w:r>
    </w:p>
    <w:p w14:paraId="1B5E1C53" w14:textId="4735D303" w:rsidR="00DC5A2C" w:rsidRDefault="00DC5A2C" w:rsidP="001D466D">
      <w:pPr>
        <w:rPr>
          <w:rFonts w:eastAsia="SimSun"/>
        </w:rPr>
      </w:pPr>
      <w:r w:rsidRPr="00836E5E">
        <w:rPr>
          <w:rFonts w:eastAsia="SimSun"/>
          <w:noProof/>
        </w:rPr>
        <w:lastRenderedPageBreak/>
        <w:drawing>
          <wp:inline distT="0" distB="0" distL="0" distR="0" wp14:anchorId="1F3BE15D" wp14:editId="5741710B">
            <wp:extent cx="5912882" cy="4433461"/>
            <wp:effectExtent l="0" t="0" r="0" b="5715"/>
            <wp:docPr id="6" name="Picture 6">
              <a:extLst xmlns:a="http://schemas.openxmlformats.org/drawingml/2006/main">
                <a:ext uri="{FF2B5EF4-FFF2-40B4-BE49-F238E27FC236}">
                  <a16:creationId xmlns:a16="http://schemas.microsoft.com/office/drawing/2014/main" id="{02D3248A-98AA-4B3C-B895-7351445DF9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2D3248A-98AA-4B3C-B895-7351445DF96C}"/>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12882" cy="4433461"/>
                    </a:xfrm>
                    <a:prstGeom prst="rect">
                      <a:avLst/>
                    </a:prstGeom>
                  </pic:spPr>
                </pic:pic>
              </a:graphicData>
            </a:graphic>
          </wp:inline>
        </w:drawing>
      </w:r>
    </w:p>
    <w:p w14:paraId="76ECE2FE" w14:textId="043B9109" w:rsidR="00DC5A2C" w:rsidRDefault="00DC5A2C" w:rsidP="00DC5A2C">
      <w:pPr>
        <w:pStyle w:val="Caption"/>
        <w:rPr>
          <w:rFonts w:eastAsia="SimSun"/>
        </w:rPr>
      </w:pPr>
      <w:bookmarkStart w:id="56" w:name="_Ref506393813"/>
      <w:r w:rsidRPr="00DC5A2C">
        <w:t xml:space="preserve">Figure </w:t>
      </w:r>
      <w:r>
        <w:fldChar w:fldCharType="begin"/>
      </w:r>
      <w:r w:rsidRPr="00DC5A2C">
        <w:instrText xml:space="preserve"> SEQ Figure \* ARABIC </w:instrText>
      </w:r>
      <w:r>
        <w:fldChar w:fldCharType="separate"/>
      </w:r>
      <w:r w:rsidR="00D005B4">
        <w:rPr>
          <w:noProof/>
        </w:rPr>
        <w:t>2</w:t>
      </w:r>
      <w:r>
        <w:fldChar w:fldCharType="end"/>
      </w:r>
      <w:bookmarkEnd w:id="56"/>
      <w:r w:rsidRPr="00DC5A2C">
        <w:t>: UL transmission duration [ms] for test environment Urban Macro mMTC Configuration B</w:t>
      </w:r>
    </w:p>
    <w:p w14:paraId="6251AFEA" w14:textId="1361F909" w:rsidR="00A70AB1" w:rsidRDefault="00A70AB1" w:rsidP="00E23A5D">
      <w:pPr>
        <w:pStyle w:val="Heading1"/>
      </w:pPr>
      <w:r>
        <w:t>Signal for a single UE</w:t>
      </w:r>
    </w:p>
    <w:p w14:paraId="737390B9" w14:textId="60D8384C" w:rsidR="00AE4698" w:rsidRPr="00AE4698" w:rsidRDefault="00AE4698" w:rsidP="00AE4698">
      <w:pPr>
        <w:rPr>
          <w:lang w:eastAsia="zh-CN"/>
        </w:rPr>
      </w:pPr>
      <w:r>
        <w:rPr>
          <w:lang w:eastAsia="zh-CN"/>
        </w:rPr>
        <w:t>It has been agreed that for</w:t>
      </w:r>
      <w:r w:rsidRPr="00AE4698">
        <w:rPr>
          <w:lang w:eastAsia="zh-CN"/>
        </w:rPr>
        <w:t xml:space="preserve"> the explicit HARQ-ACK feedback signaling,</w:t>
      </w:r>
      <w:r>
        <w:rPr>
          <w:lang w:eastAsia="zh-CN"/>
        </w:rPr>
        <w:t xml:space="preserve"> </w:t>
      </w:r>
      <w:r w:rsidR="00FA1C32">
        <w:rPr>
          <w:lang w:eastAsia="zh-CN"/>
        </w:rPr>
        <w:t xml:space="preserve">one or more </w:t>
      </w:r>
      <w:r>
        <w:rPr>
          <w:lang w:eastAsia="zh-CN"/>
        </w:rPr>
        <w:t xml:space="preserve">unused states in the </w:t>
      </w:r>
      <w:r w:rsidR="000E50BE">
        <w:rPr>
          <w:lang w:eastAsia="zh-CN"/>
        </w:rPr>
        <w:t>R</w:t>
      </w:r>
      <w:r>
        <w:rPr>
          <w:lang w:eastAsia="zh-CN"/>
        </w:rPr>
        <w:t xml:space="preserve">esource </w:t>
      </w:r>
      <w:r w:rsidR="00B822FA">
        <w:rPr>
          <w:lang w:eastAsia="zh-CN"/>
        </w:rPr>
        <w:t xml:space="preserve">block </w:t>
      </w:r>
      <w:r>
        <w:rPr>
          <w:lang w:eastAsia="zh-CN"/>
        </w:rPr>
        <w:t>assignment</w:t>
      </w:r>
      <w:r w:rsidRPr="00AE4698">
        <w:rPr>
          <w:lang w:eastAsia="zh-CN"/>
        </w:rPr>
        <w:t xml:space="preserve"> field in DCI format 6-0A </w:t>
      </w:r>
      <w:r>
        <w:rPr>
          <w:lang w:eastAsia="zh-CN"/>
        </w:rPr>
        <w:t>and</w:t>
      </w:r>
      <w:r w:rsidR="00FA1C32">
        <w:rPr>
          <w:lang w:eastAsia="zh-CN"/>
        </w:rPr>
        <w:t xml:space="preserve"> one or more unused states in</w:t>
      </w:r>
      <w:r>
        <w:rPr>
          <w:lang w:eastAsia="zh-CN"/>
        </w:rPr>
        <w:t xml:space="preserve"> the MCS field in DCI format 6-0B are used to</w:t>
      </w:r>
      <w:r w:rsidRPr="00AE4698">
        <w:rPr>
          <w:lang w:eastAsia="zh-CN"/>
        </w:rPr>
        <w:t xml:space="preserve"> indicate explicit HARQ-ACK feedback for a single UE.</w:t>
      </w:r>
    </w:p>
    <w:p w14:paraId="2A0889B1" w14:textId="76E0EB56" w:rsidR="00CF0DC4" w:rsidRPr="000A2063" w:rsidRDefault="00CF0DC4" w:rsidP="00CF0DC4">
      <w:pPr>
        <w:pStyle w:val="BodyText"/>
      </w:pPr>
      <w:r w:rsidRPr="000A2063">
        <w:t>It is FFS whether other</w:t>
      </w:r>
      <w:r>
        <w:t xml:space="preserve"> DCI</w:t>
      </w:r>
      <w:r w:rsidRPr="000A2063">
        <w:t xml:space="preserve"> fields are set to predetermined values</w:t>
      </w:r>
      <w:r>
        <w:t xml:space="preserve">. </w:t>
      </w:r>
      <w:r>
        <w:fldChar w:fldCharType="begin"/>
      </w:r>
      <w:r>
        <w:instrText xml:space="preserve"> REF _Ref506389108 \h </w:instrText>
      </w:r>
      <w:r>
        <w:fldChar w:fldCharType="separate"/>
      </w:r>
      <w:r w:rsidR="00D005B4" w:rsidRPr="00F53306">
        <w:t xml:space="preserve">Table </w:t>
      </w:r>
      <w:r w:rsidR="00D005B4">
        <w:rPr>
          <w:noProof/>
        </w:rPr>
        <w:t>1</w:t>
      </w:r>
      <w:r>
        <w:fldChar w:fldCharType="end"/>
      </w:r>
      <w:r>
        <w:t xml:space="preserve"> lists the fields and comments on the potential need to retain the fields in the new signal. Beside the UL/DL format differentiation flag, there may not be many fields that need to be retained</w:t>
      </w:r>
      <w:r w:rsidR="00FF32B2">
        <w:t>. Many of the fields can thus be set to</w:t>
      </w:r>
      <w:r w:rsidR="00A96335">
        <w:t xml:space="preserve"> fixed</w:t>
      </w:r>
      <w:r w:rsidR="00FF32B2">
        <w:t xml:space="preserve"> predetermined values if this would be considered beneficial.</w:t>
      </w:r>
    </w:p>
    <w:p w14:paraId="24971841" w14:textId="337374A3" w:rsidR="00CF0DC4" w:rsidRPr="00F53306" w:rsidRDefault="00CF0DC4" w:rsidP="00CF0DC4">
      <w:pPr>
        <w:pStyle w:val="Caption"/>
      </w:pPr>
      <w:bookmarkStart w:id="57" w:name="_Ref506389108"/>
      <w:r w:rsidRPr="00F53306">
        <w:t xml:space="preserve">Table </w:t>
      </w:r>
      <w:r>
        <w:fldChar w:fldCharType="begin"/>
      </w:r>
      <w:r w:rsidRPr="00F53306">
        <w:instrText xml:space="preserve"> SEQ Table \* ARABIC </w:instrText>
      </w:r>
      <w:r>
        <w:fldChar w:fldCharType="separate"/>
      </w:r>
      <w:r w:rsidR="00D005B4">
        <w:rPr>
          <w:noProof/>
        </w:rPr>
        <w:t>1</w:t>
      </w:r>
      <w:r>
        <w:fldChar w:fldCharType="end"/>
      </w:r>
      <w:bookmarkEnd w:id="57"/>
      <w:r w:rsidRPr="00F53306">
        <w:t xml:space="preserve">: </w:t>
      </w:r>
      <w:r>
        <w:t>Need for retaining legacy DCI fields in the new signal</w:t>
      </w:r>
    </w:p>
    <w:tbl>
      <w:tblPr>
        <w:tblStyle w:val="TableGrid"/>
        <w:tblW w:w="0" w:type="auto"/>
        <w:tblLook w:val="04A0" w:firstRow="1" w:lastRow="0" w:firstColumn="1" w:lastColumn="0" w:noHBand="0" w:noVBand="1"/>
      </w:tblPr>
      <w:tblGrid>
        <w:gridCol w:w="4106"/>
        <w:gridCol w:w="2693"/>
        <w:gridCol w:w="2694"/>
      </w:tblGrid>
      <w:tr w:rsidR="00CF0DC4" w14:paraId="721A699E" w14:textId="77777777" w:rsidTr="00957A12">
        <w:tc>
          <w:tcPr>
            <w:tcW w:w="4106" w:type="dxa"/>
            <w:shd w:val="clear" w:color="auto" w:fill="D9D9D9" w:themeFill="background1" w:themeFillShade="D9"/>
            <w:vAlign w:val="center"/>
          </w:tcPr>
          <w:p w14:paraId="538A3DFE" w14:textId="77777777" w:rsidR="00CF0DC4" w:rsidRPr="004938A0" w:rsidRDefault="00CF0DC4" w:rsidP="00016EE5">
            <w:pPr>
              <w:jc w:val="center"/>
              <w:rPr>
                <w:rFonts w:eastAsia="SimSun"/>
                <w:b/>
              </w:rPr>
            </w:pPr>
            <w:r>
              <w:rPr>
                <w:rFonts w:eastAsia="SimSun"/>
                <w:b/>
              </w:rPr>
              <w:t>DCI field</w:t>
            </w:r>
          </w:p>
        </w:tc>
        <w:tc>
          <w:tcPr>
            <w:tcW w:w="2693" w:type="dxa"/>
            <w:shd w:val="clear" w:color="auto" w:fill="D9D9D9" w:themeFill="background1" w:themeFillShade="D9"/>
            <w:vAlign w:val="center"/>
          </w:tcPr>
          <w:p w14:paraId="797924F1" w14:textId="77777777" w:rsidR="00CF0DC4" w:rsidRPr="004938A0" w:rsidRDefault="00CF0DC4" w:rsidP="00016EE5">
            <w:pPr>
              <w:jc w:val="center"/>
              <w:rPr>
                <w:rFonts w:eastAsia="SimSun"/>
                <w:b/>
              </w:rPr>
            </w:pPr>
            <w:r w:rsidRPr="004938A0">
              <w:rPr>
                <w:rFonts w:eastAsia="SimSun"/>
                <w:b/>
              </w:rPr>
              <w:t xml:space="preserve">DCI </w:t>
            </w:r>
            <w:r>
              <w:rPr>
                <w:rFonts w:eastAsia="SimSun"/>
                <w:b/>
              </w:rPr>
              <w:t xml:space="preserve">format </w:t>
            </w:r>
            <w:r w:rsidRPr="004938A0">
              <w:rPr>
                <w:rFonts w:eastAsia="SimSun"/>
                <w:b/>
              </w:rPr>
              <w:t>6-0A</w:t>
            </w:r>
          </w:p>
        </w:tc>
        <w:tc>
          <w:tcPr>
            <w:tcW w:w="2694" w:type="dxa"/>
            <w:shd w:val="clear" w:color="auto" w:fill="D9D9D9" w:themeFill="background1" w:themeFillShade="D9"/>
            <w:vAlign w:val="center"/>
          </w:tcPr>
          <w:p w14:paraId="378B326E" w14:textId="77777777" w:rsidR="00CF0DC4" w:rsidRPr="004938A0" w:rsidRDefault="00CF0DC4" w:rsidP="00016EE5">
            <w:pPr>
              <w:jc w:val="center"/>
              <w:rPr>
                <w:rFonts w:eastAsia="SimSun"/>
                <w:b/>
              </w:rPr>
            </w:pPr>
            <w:r w:rsidRPr="004938A0">
              <w:rPr>
                <w:rFonts w:eastAsia="SimSun"/>
                <w:b/>
              </w:rPr>
              <w:t xml:space="preserve">DCI </w:t>
            </w:r>
            <w:r>
              <w:rPr>
                <w:rFonts w:eastAsia="SimSun"/>
                <w:b/>
              </w:rPr>
              <w:t xml:space="preserve">format </w:t>
            </w:r>
            <w:r w:rsidRPr="004938A0">
              <w:rPr>
                <w:rFonts w:eastAsia="SimSun"/>
                <w:b/>
              </w:rPr>
              <w:t>6-0B</w:t>
            </w:r>
          </w:p>
        </w:tc>
      </w:tr>
      <w:tr w:rsidR="00CF0DC4" w14:paraId="3C18CE7E" w14:textId="77777777" w:rsidTr="00957A12">
        <w:tc>
          <w:tcPr>
            <w:tcW w:w="4106" w:type="dxa"/>
          </w:tcPr>
          <w:p w14:paraId="7A52D36C" w14:textId="77777777" w:rsidR="00CF0DC4" w:rsidRDefault="00CF0DC4" w:rsidP="00016EE5">
            <w:pPr>
              <w:rPr>
                <w:rFonts w:eastAsia="SimSun"/>
              </w:rPr>
            </w:pPr>
            <w:r>
              <w:rPr>
                <w:rFonts w:eastAsia="SimSun"/>
              </w:rPr>
              <w:t>UL/DL format differentiation flag</w:t>
            </w:r>
          </w:p>
        </w:tc>
        <w:tc>
          <w:tcPr>
            <w:tcW w:w="2693" w:type="dxa"/>
            <w:vAlign w:val="center"/>
          </w:tcPr>
          <w:p w14:paraId="5685CE58" w14:textId="77777777" w:rsidR="00CF0DC4" w:rsidRPr="00897CB2" w:rsidRDefault="00CF0DC4" w:rsidP="00016EE5">
            <w:pPr>
              <w:jc w:val="center"/>
              <w:rPr>
                <w:rFonts w:eastAsia="SimSun"/>
                <w:color w:val="FF0000"/>
              </w:rPr>
            </w:pPr>
            <w:r>
              <w:rPr>
                <w:rFonts w:eastAsia="SimSun"/>
                <w:color w:val="FF0000"/>
              </w:rPr>
              <w:t>Needed</w:t>
            </w:r>
          </w:p>
        </w:tc>
        <w:tc>
          <w:tcPr>
            <w:tcW w:w="2694" w:type="dxa"/>
            <w:vAlign w:val="center"/>
          </w:tcPr>
          <w:p w14:paraId="6649E666" w14:textId="77777777" w:rsidR="00CF0DC4" w:rsidRPr="00897CB2" w:rsidRDefault="00CF0DC4" w:rsidP="00016EE5">
            <w:pPr>
              <w:jc w:val="center"/>
              <w:rPr>
                <w:rFonts w:eastAsia="SimSun"/>
                <w:color w:val="FF0000"/>
              </w:rPr>
            </w:pPr>
            <w:r>
              <w:rPr>
                <w:rFonts w:eastAsia="SimSun"/>
                <w:color w:val="FF0000"/>
              </w:rPr>
              <w:t>Needed</w:t>
            </w:r>
          </w:p>
        </w:tc>
      </w:tr>
      <w:tr w:rsidR="00CF0DC4" w14:paraId="60F52B68" w14:textId="77777777" w:rsidTr="00957A12">
        <w:tc>
          <w:tcPr>
            <w:tcW w:w="4106" w:type="dxa"/>
          </w:tcPr>
          <w:p w14:paraId="1EB67FC8" w14:textId="77777777" w:rsidR="00CF0DC4" w:rsidRDefault="00CF0DC4" w:rsidP="00016EE5">
            <w:pPr>
              <w:rPr>
                <w:rFonts w:eastAsia="SimSun"/>
              </w:rPr>
            </w:pPr>
            <w:r>
              <w:rPr>
                <w:rFonts w:eastAsia="SimSun"/>
              </w:rPr>
              <w:t>Frequency hopping flag</w:t>
            </w:r>
          </w:p>
        </w:tc>
        <w:tc>
          <w:tcPr>
            <w:tcW w:w="2693" w:type="dxa"/>
            <w:vAlign w:val="center"/>
          </w:tcPr>
          <w:p w14:paraId="5A50E47C" w14:textId="77777777" w:rsidR="00CF0DC4" w:rsidRDefault="00CF0DC4" w:rsidP="00016EE5">
            <w:pPr>
              <w:jc w:val="center"/>
              <w:rPr>
                <w:rFonts w:eastAsia="SimSun"/>
              </w:rPr>
            </w:pPr>
            <w:r>
              <w:rPr>
                <w:rFonts w:eastAsia="SimSun"/>
              </w:rPr>
              <w:t>Not needed</w:t>
            </w:r>
          </w:p>
        </w:tc>
        <w:tc>
          <w:tcPr>
            <w:tcW w:w="2694" w:type="dxa"/>
            <w:shd w:val="clear" w:color="auto" w:fill="auto"/>
            <w:vAlign w:val="center"/>
          </w:tcPr>
          <w:p w14:paraId="6C5A582A" w14:textId="77777777" w:rsidR="00CF0DC4" w:rsidRDefault="00CF0DC4" w:rsidP="00016EE5">
            <w:pPr>
              <w:jc w:val="center"/>
              <w:rPr>
                <w:rFonts w:eastAsia="SimSun"/>
              </w:rPr>
            </w:pPr>
            <w:r w:rsidRPr="00F27B85">
              <w:rPr>
                <w:rFonts w:eastAsia="SimSun"/>
                <w:color w:val="808080" w:themeColor="background1" w:themeShade="80"/>
              </w:rPr>
              <w:t>N/A</w:t>
            </w:r>
          </w:p>
        </w:tc>
      </w:tr>
      <w:tr w:rsidR="00CF0DC4" w14:paraId="675F6EFD" w14:textId="77777777" w:rsidTr="00957A12">
        <w:tc>
          <w:tcPr>
            <w:tcW w:w="4106" w:type="dxa"/>
          </w:tcPr>
          <w:p w14:paraId="388F2134" w14:textId="77777777" w:rsidR="00CF0DC4" w:rsidRDefault="00CF0DC4" w:rsidP="00016EE5">
            <w:pPr>
              <w:rPr>
                <w:rFonts w:eastAsia="SimSun"/>
              </w:rPr>
            </w:pPr>
            <w:r>
              <w:rPr>
                <w:rFonts w:eastAsia="SimSun"/>
              </w:rPr>
              <w:t>Resource block assignment</w:t>
            </w:r>
          </w:p>
        </w:tc>
        <w:tc>
          <w:tcPr>
            <w:tcW w:w="2693" w:type="dxa"/>
            <w:vAlign w:val="center"/>
          </w:tcPr>
          <w:p w14:paraId="65F99B5C" w14:textId="77777777" w:rsidR="00CF0DC4" w:rsidRPr="00EF4339" w:rsidRDefault="00CF0DC4" w:rsidP="00016EE5">
            <w:pPr>
              <w:jc w:val="center"/>
              <w:rPr>
                <w:rFonts w:eastAsia="SimSun"/>
                <w:color w:val="FF0000"/>
              </w:rPr>
            </w:pPr>
            <w:r w:rsidRPr="00EF4339">
              <w:rPr>
                <w:rFonts w:eastAsia="SimSun"/>
                <w:color w:val="FF0000"/>
              </w:rPr>
              <w:t>To be repurposed</w:t>
            </w:r>
          </w:p>
        </w:tc>
        <w:tc>
          <w:tcPr>
            <w:tcW w:w="2694" w:type="dxa"/>
            <w:vAlign w:val="center"/>
          </w:tcPr>
          <w:p w14:paraId="33C9FF99" w14:textId="77777777" w:rsidR="00CF0DC4" w:rsidRDefault="00CF0DC4" w:rsidP="00016EE5">
            <w:pPr>
              <w:jc w:val="center"/>
              <w:rPr>
                <w:rFonts w:eastAsia="SimSun"/>
              </w:rPr>
            </w:pPr>
            <w:r>
              <w:rPr>
                <w:rFonts w:eastAsia="SimSun"/>
              </w:rPr>
              <w:t>Not needed</w:t>
            </w:r>
          </w:p>
        </w:tc>
      </w:tr>
      <w:tr w:rsidR="00CF0DC4" w14:paraId="20DEF661" w14:textId="77777777" w:rsidTr="00957A12">
        <w:tc>
          <w:tcPr>
            <w:tcW w:w="4106" w:type="dxa"/>
          </w:tcPr>
          <w:p w14:paraId="5331DB04" w14:textId="77777777" w:rsidR="00CF0DC4" w:rsidRDefault="00CF0DC4" w:rsidP="00016EE5">
            <w:pPr>
              <w:rPr>
                <w:rFonts w:eastAsia="SimSun"/>
              </w:rPr>
            </w:pPr>
            <w:r>
              <w:rPr>
                <w:rFonts w:eastAsia="SimSun"/>
              </w:rPr>
              <w:t>Modulation and coding scheme</w:t>
            </w:r>
          </w:p>
        </w:tc>
        <w:tc>
          <w:tcPr>
            <w:tcW w:w="2693" w:type="dxa"/>
            <w:vAlign w:val="center"/>
          </w:tcPr>
          <w:p w14:paraId="3AAC1300" w14:textId="77777777" w:rsidR="00CF0DC4" w:rsidRDefault="00CF0DC4" w:rsidP="00016EE5">
            <w:pPr>
              <w:jc w:val="center"/>
              <w:rPr>
                <w:rFonts w:eastAsia="SimSun"/>
              </w:rPr>
            </w:pPr>
            <w:r>
              <w:rPr>
                <w:rFonts w:eastAsia="SimSun"/>
              </w:rPr>
              <w:t>Not needed</w:t>
            </w:r>
          </w:p>
        </w:tc>
        <w:tc>
          <w:tcPr>
            <w:tcW w:w="2694" w:type="dxa"/>
            <w:vAlign w:val="center"/>
          </w:tcPr>
          <w:p w14:paraId="7661CC13" w14:textId="77777777" w:rsidR="00CF0DC4" w:rsidRPr="00EF4339" w:rsidRDefault="00CF0DC4" w:rsidP="00016EE5">
            <w:pPr>
              <w:jc w:val="center"/>
              <w:rPr>
                <w:rFonts w:eastAsia="SimSun"/>
                <w:color w:val="FF0000"/>
              </w:rPr>
            </w:pPr>
            <w:r w:rsidRPr="00EF4339">
              <w:rPr>
                <w:rFonts w:eastAsia="SimSun"/>
                <w:color w:val="FF0000"/>
              </w:rPr>
              <w:t>To be repurposed</w:t>
            </w:r>
          </w:p>
        </w:tc>
      </w:tr>
      <w:tr w:rsidR="00CF0DC4" w14:paraId="54869416" w14:textId="77777777" w:rsidTr="00957A12">
        <w:tc>
          <w:tcPr>
            <w:tcW w:w="4106" w:type="dxa"/>
          </w:tcPr>
          <w:p w14:paraId="249EBC49" w14:textId="77777777" w:rsidR="00CF0DC4" w:rsidRDefault="00CF0DC4" w:rsidP="00016EE5">
            <w:pPr>
              <w:rPr>
                <w:rFonts w:eastAsia="SimSun"/>
              </w:rPr>
            </w:pPr>
            <w:r>
              <w:rPr>
                <w:rFonts w:eastAsia="SimSun"/>
              </w:rPr>
              <w:t>Repetition number</w:t>
            </w:r>
          </w:p>
        </w:tc>
        <w:tc>
          <w:tcPr>
            <w:tcW w:w="2693" w:type="dxa"/>
            <w:vAlign w:val="center"/>
          </w:tcPr>
          <w:p w14:paraId="78A9F636" w14:textId="77777777" w:rsidR="00CF0DC4" w:rsidRDefault="00CF0DC4" w:rsidP="00016EE5">
            <w:pPr>
              <w:jc w:val="center"/>
              <w:rPr>
                <w:rFonts w:eastAsia="SimSun"/>
              </w:rPr>
            </w:pPr>
            <w:r>
              <w:rPr>
                <w:rFonts w:eastAsia="SimSun"/>
              </w:rPr>
              <w:t>Not needed</w:t>
            </w:r>
          </w:p>
        </w:tc>
        <w:tc>
          <w:tcPr>
            <w:tcW w:w="2694" w:type="dxa"/>
            <w:vAlign w:val="center"/>
          </w:tcPr>
          <w:p w14:paraId="2B577093" w14:textId="77777777" w:rsidR="00CF0DC4" w:rsidRDefault="00CF0DC4" w:rsidP="00016EE5">
            <w:pPr>
              <w:jc w:val="center"/>
              <w:rPr>
                <w:rFonts w:eastAsia="SimSun"/>
              </w:rPr>
            </w:pPr>
            <w:r>
              <w:rPr>
                <w:rFonts w:eastAsia="SimSun"/>
              </w:rPr>
              <w:t>Not needed</w:t>
            </w:r>
          </w:p>
        </w:tc>
      </w:tr>
      <w:tr w:rsidR="006A70E3" w14:paraId="5940CC7C" w14:textId="77777777" w:rsidTr="00957A12">
        <w:tc>
          <w:tcPr>
            <w:tcW w:w="4106" w:type="dxa"/>
          </w:tcPr>
          <w:p w14:paraId="49EC0448" w14:textId="77777777" w:rsidR="006A70E3" w:rsidRDefault="006A70E3" w:rsidP="006A70E3">
            <w:pPr>
              <w:rPr>
                <w:rFonts w:eastAsia="SimSun"/>
              </w:rPr>
            </w:pPr>
            <w:r>
              <w:rPr>
                <w:rFonts w:eastAsia="SimSun"/>
              </w:rPr>
              <w:lastRenderedPageBreak/>
              <w:t>HARQ process number</w:t>
            </w:r>
          </w:p>
        </w:tc>
        <w:tc>
          <w:tcPr>
            <w:tcW w:w="2693" w:type="dxa"/>
            <w:vAlign w:val="center"/>
          </w:tcPr>
          <w:p w14:paraId="7E6D1465" w14:textId="218949AC" w:rsidR="006A70E3" w:rsidRPr="00897CB2" w:rsidRDefault="006A70E3" w:rsidP="006A70E3">
            <w:pPr>
              <w:jc w:val="center"/>
              <w:rPr>
                <w:rFonts w:eastAsia="SimSun"/>
                <w:color w:val="FF0000"/>
              </w:rPr>
            </w:pPr>
            <w:r>
              <w:rPr>
                <w:rFonts w:eastAsia="SimSun"/>
                <w:color w:val="FF0000"/>
              </w:rPr>
              <w:t>Not needed?</w:t>
            </w:r>
          </w:p>
        </w:tc>
        <w:tc>
          <w:tcPr>
            <w:tcW w:w="2694" w:type="dxa"/>
            <w:vAlign w:val="center"/>
          </w:tcPr>
          <w:p w14:paraId="39B46984" w14:textId="203AF65B" w:rsidR="006A70E3" w:rsidRPr="00897CB2" w:rsidRDefault="006A70E3" w:rsidP="006A70E3">
            <w:pPr>
              <w:jc w:val="center"/>
              <w:rPr>
                <w:rFonts w:eastAsia="SimSun"/>
                <w:color w:val="FF0000"/>
              </w:rPr>
            </w:pPr>
            <w:r>
              <w:rPr>
                <w:rFonts w:eastAsia="SimSun"/>
                <w:color w:val="FF0000"/>
              </w:rPr>
              <w:t>Not needed?</w:t>
            </w:r>
          </w:p>
        </w:tc>
      </w:tr>
      <w:tr w:rsidR="00CF0DC4" w14:paraId="4CD23779" w14:textId="77777777" w:rsidTr="00957A12">
        <w:tc>
          <w:tcPr>
            <w:tcW w:w="4106" w:type="dxa"/>
          </w:tcPr>
          <w:p w14:paraId="25F1A197" w14:textId="77777777" w:rsidR="00CF0DC4" w:rsidRDefault="00CF0DC4" w:rsidP="00016EE5">
            <w:pPr>
              <w:rPr>
                <w:rFonts w:eastAsia="SimSun"/>
              </w:rPr>
            </w:pPr>
            <w:r>
              <w:rPr>
                <w:rFonts w:eastAsia="SimSun"/>
              </w:rPr>
              <w:t>New data indicator</w:t>
            </w:r>
          </w:p>
        </w:tc>
        <w:tc>
          <w:tcPr>
            <w:tcW w:w="2693" w:type="dxa"/>
            <w:vAlign w:val="center"/>
          </w:tcPr>
          <w:p w14:paraId="41D0F0F3" w14:textId="77777777" w:rsidR="00CF0DC4" w:rsidRDefault="00CF0DC4" w:rsidP="00016EE5">
            <w:pPr>
              <w:jc w:val="center"/>
              <w:rPr>
                <w:rFonts w:eastAsia="SimSun"/>
              </w:rPr>
            </w:pPr>
            <w:r>
              <w:rPr>
                <w:rFonts w:eastAsia="SimSun"/>
              </w:rPr>
              <w:t>Not needed</w:t>
            </w:r>
          </w:p>
        </w:tc>
        <w:tc>
          <w:tcPr>
            <w:tcW w:w="2694" w:type="dxa"/>
            <w:vAlign w:val="center"/>
          </w:tcPr>
          <w:p w14:paraId="07B884FB" w14:textId="77777777" w:rsidR="00CF0DC4" w:rsidRDefault="00CF0DC4" w:rsidP="00016EE5">
            <w:pPr>
              <w:jc w:val="center"/>
              <w:rPr>
                <w:rFonts w:eastAsia="SimSun"/>
              </w:rPr>
            </w:pPr>
            <w:r>
              <w:rPr>
                <w:rFonts w:eastAsia="SimSun"/>
              </w:rPr>
              <w:t>Not needed</w:t>
            </w:r>
          </w:p>
        </w:tc>
      </w:tr>
      <w:tr w:rsidR="00CF0DC4" w14:paraId="24AA4ABB" w14:textId="77777777" w:rsidTr="00957A12">
        <w:tc>
          <w:tcPr>
            <w:tcW w:w="4106" w:type="dxa"/>
          </w:tcPr>
          <w:p w14:paraId="37A6EFD4" w14:textId="77777777" w:rsidR="00CF0DC4" w:rsidRDefault="00CF0DC4" w:rsidP="00016EE5">
            <w:pPr>
              <w:rPr>
                <w:rFonts w:eastAsia="SimSun"/>
              </w:rPr>
            </w:pPr>
            <w:r>
              <w:rPr>
                <w:rFonts w:eastAsia="SimSun"/>
              </w:rPr>
              <w:t>Redundancy version</w:t>
            </w:r>
          </w:p>
        </w:tc>
        <w:tc>
          <w:tcPr>
            <w:tcW w:w="2693" w:type="dxa"/>
            <w:vAlign w:val="center"/>
          </w:tcPr>
          <w:p w14:paraId="1A4B6DD0" w14:textId="77777777" w:rsidR="00CF0DC4" w:rsidRDefault="00CF0DC4" w:rsidP="00016EE5">
            <w:pPr>
              <w:jc w:val="center"/>
              <w:rPr>
                <w:rFonts w:eastAsia="SimSun"/>
              </w:rPr>
            </w:pPr>
            <w:r>
              <w:rPr>
                <w:rFonts w:eastAsia="SimSun"/>
              </w:rPr>
              <w:t>Not needed</w:t>
            </w:r>
          </w:p>
        </w:tc>
        <w:tc>
          <w:tcPr>
            <w:tcW w:w="2694" w:type="dxa"/>
            <w:shd w:val="clear" w:color="auto" w:fill="auto"/>
            <w:vAlign w:val="center"/>
          </w:tcPr>
          <w:p w14:paraId="5AC07736" w14:textId="77777777" w:rsidR="00CF0DC4" w:rsidRPr="00F27B85" w:rsidRDefault="00CF0DC4" w:rsidP="00016EE5">
            <w:pPr>
              <w:jc w:val="center"/>
              <w:rPr>
                <w:rFonts w:eastAsia="SimSun"/>
                <w:color w:val="808080" w:themeColor="background1" w:themeShade="80"/>
              </w:rPr>
            </w:pPr>
            <w:r w:rsidRPr="00F27B85">
              <w:rPr>
                <w:rFonts w:eastAsia="SimSun"/>
                <w:color w:val="808080" w:themeColor="background1" w:themeShade="80"/>
              </w:rPr>
              <w:t>N/A</w:t>
            </w:r>
          </w:p>
        </w:tc>
      </w:tr>
      <w:tr w:rsidR="00CF0DC4" w14:paraId="3E198E4B" w14:textId="77777777" w:rsidTr="00957A12">
        <w:tc>
          <w:tcPr>
            <w:tcW w:w="4106" w:type="dxa"/>
          </w:tcPr>
          <w:p w14:paraId="3401A1EE" w14:textId="77777777" w:rsidR="00CF0DC4" w:rsidRDefault="00CF0DC4" w:rsidP="00016EE5">
            <w:pPr>
              <w:rPr>
                <w:rFonts w:eastAsia="SimSun"/>
              </w:rPr>
            </w:pPr>
            <w:r>
              <w:rPr>
                <w:rFonts w:eastAsia="SimSun"/>
              </w:rPr>
              <w:t>TPC command</w:t>
            </w:r>
          </w:p>
        </w:tc>
        <w:tc>
          <w:tcPr>
            <w:tcW w:w="2693" w:type="dxa"/>
            <w:vAlign w:val="center"/>
          </w:tcPr>
          <w:p w14:paraId="3DADF191" w14:textId="7EE22012" w:rsidR="00CF0DC4" w:rsidRPr="00897CB2" w:rsidRDefault="00057840" w:rsidP="00016EE5">
            <w:pPr>
              <w:jc w:val="center"/>
              <w:rPr>
                <w:rFonts w:eastAsia="SimSun"/>
                <w:color w:val="FF0000"/>
              </w:rPr>
            </w:pPr>
            <w:r>
              <w:rPr>
                <w:rFonts w:eastAsia="SimSun"/>
                <w:color w:val="FF0000"/>
              </w:rPr>
              <w:t>Not needed?</w:t>
            </w:r>
          </w:p>
        </w:tc>
        <w:tc>
          <w:tcPr>
            <w:tcW w:w="2694" w:type="dxa"/>
            <w:shd w:val="clear" w:color="auto" w:fill="auto"/>
            <w:vAlign w:val="center"/>
          </w:tcPr>
          <w:p w14:paraId="551913CD" w14:textId="77777777" w:rsidR="00CF0DC4" w:rsidRPr="00F27B85" w:rsidRDefault="00CF0DC4" w:rsidP="00016EE5">
            <w:pPr>
              <w:jc w:val="center"/>
              <w:rPr>
                <w:rFonts w:eastAsia="SimSun"/>
                <w:color w:val="808080" w:themeColor="background1" w:themeShade="80"/>
              </w:rPr>
            </w:pPr>
            <w:r w:rsidRPr="00F27B85">
              <w:rPr>
                <w:rFonts w:eastAsia="SimSun"/>
                <w:color w:val="808080" w:themeColor="background1" w:themeShade="80"/>
              </w:rPr>
              <w:t>N/A</w:t>
            </w:r>
          </w:p>
        </w:tc>
      </w:tr>
      <w:tr w:rsidR="00CF0DC4" w14:paraId="24DDF834" w14:textId="77777777" w:rsidTr="00957A12">
        <w:tc>
          <w:tcPr>
            <w:tcW w:w="4106" w:type="dxa"/>
          </w:tcPr>
          <w:p w14:paraId="75749F85" w14:textId="77777777" w:rsidR="00CF0DC4" w:rsidRDefault="00CF0DC4" w:rsidP="00016EE5">
            <w:pPr>
              <w:rPr>
                <w:rFonts w:eastAsia="SimSun"/>
              </w:rPr>
            </w:pPr>
            <w:r>
              <w:rPr>
                <w:rFonts w:eastAsia="SimSun"/>
              </w:rPr>
              <w:t>UL index (TDD only)</w:t>
            </w:r>
          </w:p>
        </w:tc>
        <w:tc>
          <w:tcPr>
            <w:tcW w:w="2693" w:type="dxa"/>
            <w:vAlign w:val="center"/>
          </w:tcPr>
          <w:p w14:paraId="1618AE13" w14:textId="77777777" w:rsidR="00CF0DC4" w:rsidRDefault="00CF0DC4" w:rsidP="00016EE5">
            <w:pPr>
              <w:jc w:val="center"/>
              <w:rPr>
                <w:rFonts w:eastAsia="SimSun"/>
              </w:rPr>
            </w:pPr>
            <w:r>
              <w:rPr>
                <w:rFonts w:eastAsia="SimSun"/>
              </w:rPr>
              <w:t>Not needed</w:t>
            </w:r>
          </w:p>
        </w:tc>
        <w:tc>
          <w:tcPr>
            <w:tcW w:w="2694" w:type="dxa"/>
            <w:shd w:val="clear" w:color="auto" w:fill="auto"/>
            <w:vAlign w:val="center"/>
          </w:tcPr>
          <w:p w14:paraId="4BDAD303" w14:textId="77777777" w:rsidR="00CF0DC4" w:rsidRPr="00F27B85" w:rsidRDefault="00CF0DC4" w:rsidP="00016EE5">
            <w:pPr>
              <w:jc w:val="center"/>
              <w:rPr>
                <w:rFonts w:eastAsia="SimSun"/>
                <w:color w:val="808080" w:themeColor="background1" w:themeShade="80"/>
              </w:rPr>
            </w:pPr>
            <w:r w:rsidRPr="00F27B85">
              <w:rPr>
                <w:rFonts w:eastAsia="SimSun"/>
                <w:color w:val="808080" w:themeColor="background1" w:themeShade="80"/>
              </w:rPr>
              <w:t>N/A</w:t>
            </w:r>
          </w:p>
        </w:tc>
      </w:tr>
      <w:tr w:rsidR="00CF0DC4" w14:paraId="4542E9C7" w14:textId="77777777" w:rsidTr="00957A12">
        <w:tc>
          <w:tcPr>
            <w:tcW w:w="4106" w:type="dxa"/>
          </w:tcPr>
          <w:p w14:paraId="72879BC2" w14:textId="77777777" w:rsidR="00CF0DC4" w:rsidRDefault="00CF0DC4" w:rsidP="00016EE5">
            <w:pPr>
              <w:rPr>
                <w:rFonts w:eastAsia="SimSun"/>
              </w:rPr>
            </w:pPr>
            <w:r>
              <w:rPr>
                <w:rFonts w:eastAsia="SimSun"/>
              </w:rPr>
              <w:t>DL assignment index (TDD only)</w:t>
            </w:r>
          </w:p>
        </w:tc>
        <w:tc>
          <w:tcPr>
            <w:tcW w:w="2693" w:type="dxa"/>
            <w:vAlign w:val="center"/>
          </w:tcPr>
          <w:p w14:paraId="576F5C82" w14:textId="77777777" w:rsidR="00CF0DC4" w:rsidRDefault="00CF0DC4" w:rsidP="00016EE5">
            <w:pPr>
              <w:jc w:val="center"/>
              <w:rPr>
                <w:rFonts w:eastAsia="SimSun"/>
              </w:rPr>
            </w:pPr>
            <w:r>
              <w:rPr>
                <w:rFonts w:eastAsia="SimSun"/>
              </w:rPr>
              <w:t>Not needed</w:t>
            </w:r>
          </w:p>
        </w:tc>
        <w:tc>
          <w:tcPr>
            <w:tcW w:w="2694" w:type="dxa"/>
            <w:shd w:val="clear" w:color="auto" w:fill="auto"/>
            <w:vAlign w:val="center"/>
          </w:tcPr>
          <w:p w14:paraId="663CCAF4" w14:textId="77777777" w:rsidR="00CF0DC4" w:rsidRPr="00F27B85" w:rsidRDefault="00CF0DC4" w:rsidP="00016EE5">
            <w:pPr>
              <w:jc w:val="center"/>
              <w:rPr>
                <w:rFonts w:eastAsia="SimSun"/>
                <w:color w:val="808080" w:themeColor="background1" w:themeShade="80"/>
              </w:rPr>
            </w:pPr>
            <w:r w:rsidRPr="00F27B85">
              <w:rPr>
                <w:rFonts w:eastAsia="SimSun"/>
                <w:color w:val="808080" w:themeColor="background1" w:themeShade="80"/>
              </w:rPr>
              <w:t>N/A</w:t>
            </w:r>
          </w:p>
        </w:tc>
      </w:tr>
      <w:tr w:rsidR="00CF0DC4" w14:paraId="00ABAD79" w14:textId="77777777" w:rsidTr="00957A12">
        <w:tc>
          <w:tcPr>
            <w:tcW w:w="4106" w:type="dxa"/>
          </w:tcPr>
          <w:p w14:paraId="330F49CA" w14:textId="77777777" w:rsidR="00CF0DC4" w:rsidRDefault="00CF0DC4" w:rsidP="00016EE5">
            <w:pPr>
              <w:rPr>
                <w:rFonts w:eastAsia="SimSun"/>
              </w:rPr>
            </w:pPr>
            <w:r>
              <w:rPr>
                <w:rFonts w:eastAsia="SimSun"/>
              </w:rPr>
              <w:t>CSI request</w:t>
            </w:r>
          </w:p>
        </w:tc>
        <w:tc>
          <w:tcPr>
            <w:tcW w:w="2693" w:type="dxa"/>
            <w:vAlign w:val="center"/>
          </w:tcPr>
          <w:p w14:paraId="6C8EA3B2" w14:textId="77777777" w:rsidR="00CF0DC4" w:rsidRDefault="00CF0DC4" w:rsidP="00016EE5">
            <w:pPr>
              <w:jc w:val="center"/>
              <w:rPr>
                <w:rFonts w:eastAsia="SimSun"/>
              </w:rPr>
            </w:pPr>
            <w:r>
              <w:rPr>
                <w:rFonts w:eastAsia="SimSun"/>
              </w:rPr>
              <w:t>Not needed</w:t>
            </w:r>
          </w:p>
        </w:tc>
        <w:tc>
          <w:tcPr>
            <w:tcW w:w="2694" w:type="dxa"/>
            <w:shd w:val="clear" w:color="auto" w:fill="auto"/>
            <w:vAlign w:val="center"/>
          </w:tcPr>
          <w:p w14:paraId="372AD149" w14:textId="77777777" w:rsidR="00CF0DC4" w:rsidRPr="00F27B85" w:rsidRDefault="00CF0DC4" w:rsidP="00016EE5">
            <w:pPr>
              <w:jc w:val="center"/>
              <w:rPr>
                <w:rFonts w:eastAsia="SimSun"/>
                <w:color w:val="808080" w:themeColor="background1" w:themeShade="80"/>
              </w:rPr>
            </w:pPr>
            <w:r w:rsidRPr="00F27B85">
              <w:rPr>
                <w:rFonts w:eastAsia="SimSun"/>
                <w:color w:val="808080" w:themeColor="background1" w:themeShade="80"/>
              </w:rPr>
              <w:t>N/A</w:t>
            </w:r>
          </w:p>
        </w:tc>
      </w:tr>
      <w:tr w:rsidR="00CF0DC4" w14:paraId="1393C451" w14:textId="77777777" w:rsidTr="00957A12">
        <w:tc>
          <w:tcPr>
            <w:tcW w:w="4106" w:type="dxa"/>
          </w:tcPr>
          <w:p w14:paraId="552AA72A" w14:textId="77777777" w:rsidR="00CF0DC4" w:rsidRDefault="00CF0DC4" w:rsidP="00016EE5">
            <w:pPr>
              <w:rPr>
                <w:rFonts w:eastAsia="SimSun"/>
              </w:rPr>
            </w:pPr>
            <w:r>
              <w:rPr>
                <w:rFonts w:eastAsia="SimSun"/>
              </w:rPr>
              <w:t>SRS request</w:t>
            </w:r>
          </w:p>
        </w:tc>
        <w:tc>
          <w:tcPr>
            <w:tcW w:w="2693" w:type="dxa"/>
            <w:vAlign w:val="center"/>
          </w:tcPr>
          <w:p w14:paraId="605BD68A" w14:textId="77777777" w:rsidR="00CF0DC4" w:rsidRDefault="00CF0DC4" w:rsidP="00016EE5">
            <w:pPr>
              <w:jc w:val="center"/>
              <w:rPr>
                <w:rFonts w:eastAsia="SimSun"/>
              </w:rPr>
            </w:pPr>
            <w:r>
              <w:rPr>
                <w:rFonts w:eastAsia="SimSun"/>
              </w:rPr>
              <w:t>Not needed</w:t>
            </w:r>
          </w:p>
        </w:tc>
        <w:tc>
          <w:tcPr>
            <w:tcW w:w="2694" w:type="dxa"/>
            <w:shd w:val="clear" w:color="auto" w:fill="auto"/>
            <w:vAlign w:val="center"/>
          </w:tcPr>
          <w:p w14:paraId="3E426119" w14:textId="77777777" w:rsidR="00CF0DC4" w:rsidRPr="00F27B85" w:rsidRDefault="00CF0DC4" w:rsidP="00016EE5">
            <w:pPr>
              <w:jc w:val="center"/>
              <w:rPr>
                <w:rFonts w:eastAsia="SimSun"/>
                <w:color w:val="808080" w:themeColor="background1" w:themeShade="80"/>
              </w:rPr>
            </w:pPr>
            <w:r w:rsidRPr="00F27B85">
              <w:rPr>
                <w:rFonts w:eastAsia="SimSun"/>
                <w:color w:val="808080" w:themeColor="background1" w:themeShade="80"/>
              </w:rPr>
              <w:t>N/A</w:t>
            </w:r>
          </w:p>
        </w:tc>
      </w:tr>
      <w:tr w:rsidR="00CF0DC4" w14:paraId="54F234A8" w14:textId="77777777" w:rsidTr="00957A12">
        <w:tc>
          <w:tcPr>
            <w:tcW w:w="4106" w:type="dxa"/>
          </w:tcPr>
          <w:p w14:paraId="26DF0ECD" w14:textId="77777777" w:rsidR="00CF0DC4" w:rsidRDefault="00CF0DC4" w:rsidP="00016EE5">
            <w:pPr>
              <w:rPr>
                <w:rFonts w:eastAsia="SimSun"/>
              </w:rPr>
            </w:pPr>
            <w:r>
              <w:rPr>
                <w:rFonts w:eastAsia="SimSun"/>
              </w:rPr>
              <w:t>MPDCCH repetition number</w:t>
            </w:r>
          </w:p>
        </w:tc>
        <w:tc>
          <w:tcPr>
            <w:tcW w:w="2693" w:type="dxa"/>
            <w:vAlign w:val="center"/>
          </w:tcPr>
          <w:p w14:paraId="56478ADD" w14:textId="77777777" w:rsidR="00CF0DC4" w:rsidRDefault="00CF0DC4" w:rsidP="00016EE5">
            <w:pPr>
              <w:jc w:val="center"/>
              <w:rPr>
                <w:rFonts w:eastAsia="SimSun"/>
              </w:rPr>
            </w:pPr>
            <w:r>
              <w:rPr>
                <w:rFonts w:eastAsia="SimSun"/>
                <w:color w:val="FF0000"/>
              </w:rPr>
              <w:t>Not needed?</w:t>
            </w:r>
          </w:p>
        </w:tc>
        <w:tc>
          <w:tcPr>
            <w:tcW w:w="2694" w:type="dxa"/>
            <w:vAlign w:val="center"/>
          </w:tcPr>
          <w:p w14:paraId="11A72990" w14:textId="77777777" w:rsidR="00CF0DC4" w:rsidRDefault="00CF0DC4" w:rsidP="00016EE5">
            <w:pPr>
              <w:jc w:val="center"/>
              <w:rPr>
                <w:rFonts w:eastAsia="SimSun"/>
              </w:rPr>
            </w:pPr>
            <w:r>
              <w:rPr>
                <w:rFonts w:eastAsia="SimSun"/>
                <w:color w:val="FF0000"/>
              </w:rPr>
              <w:t>Not needed?</w:t>
            </w:r>
          </w:p>
        </w:tc>
      </w:tr>
      <w:tr w:rsidR="00CF0DC4" w:rsidRPr="00AB10F7" w14:paraId="104E3B1A" w14:textId="77777777" w:rsidTr="00957A12">
        <w:tc>
          <w:tcPr>
            <w:tcW w:w="4106" w:type="dxa"/>
          </w:tcPr>
          <w:p w14:paraId="6ADAE579" w14:textId="77777777" w:rsidR="00CF0DC4" w:rsidRPr="00AB10F7" w:rsidRDefault="00CF0DC4" w:rsidP="00016EE5">
            <w:pPr>
              <w:rPr>
                <w:rFonts w:eastAsia="SimSun"/>
              </w:rPr>
            </w:pPr>
            <w:r>
              <w:rPr>
                <w:rFonts w:eastAsia="SimSun"/>
              </w:rPr>
              <w:t>Modulation order override (Rel-14 feature)</w:t>
            </w:r>
          </w:p>
        </w:tc>
        <w:tc>
          <w:tcPr>
            <w:tcW w:w="2693" w:type="dxa"/>
            <w:vAlign w:val="center"/>
          </w:tcPr>
          <w:p w14:paraId="6AA247FE" w14:textId="77777777" w:rsidR="00CF0DC4" w:rsidRPr="00AB10F7" w:rsidRDefault="00CF0DC4" w:rsidP="00016EE5">
            <w:pPr>
              <w:jc w:val="center"/>
              <w:rPr>
                <w:rFonts w:eastAsia="SimSun"/>
              </w:rPr>
            </w:pPr>
            <w:r>
              <w:rPr>
                <w:rFonts w:eastAsia="SimSun"/>
              </w:rPr>
              <w:t>Not needed</w:t>
            </w:r>
          </w:p>
        </w:tc>
        <w:tc>
          <w:tcPr>
            <w:tcW w:w="2694" w:type="dxa"/>
            <w:shd w:val="clear" w:color="auto" w:fill="auto"/>
            <w:vAlign w:val="center"/>
          </w:tcPr>
          <w:p w14:paraId="6EB0D0FC" w14:textId="77777777" w:rsidR="00CF0DC4" w:rsidRPr="00AB10F7" w:rsidRDefault="00CF0DC4" w:rsidP="00016EE5">
            <w:pPr>
              <w:jc w:val="center"/>
              <w:rPr>
                <w:rFonts w:eastAsia="SimSun"/>
              </w:rPr>
            </w:pPr>
            <w:r w:rsidRPr="00F27B85">
              <w:rPr>
                <w:rFonts w:eastAsia="SimSun"/>
                <w:color w:val="808080" w:themeColor="background1" w:themeShade="80"/>
              </w:rPr>
              <w:t>N/A</w:t>
            </w:r>
          </w:p>
        </w:tc>
      </w:tr>
    </w:tbl>
    <w:p w14:paraId="183A53F0" w14:textId="77777777" w:rsidR="00CF0DC4" w:rsidRDefault="00CF0DC4" w:rsidP="00EF0182"/>
    <w:p w14:paraId="02F1CB5A" w14:textId="7E14E104" w:rsidR="00B375CE" w:rsidRPr="00F53306" w:rsidRDefault="00FA32C0" w:rsidP="00EF0182">
      <w:pPr>
        <w:rPr>
          <w:rFonts w:eastAsia="SimSun"/>
        </w:rPr>
      </w:pPr>
      <w:r w:rsidRPr="00F53306">
        <w:rPr>
          <w:rFonts w:hint="eastAsia"/>
        </w:rPr>
        <w:t>For</w:t>
      </w:r>
      <w:r w:rsidRPr="00F53306">
        <w:rPr>
          <w:rFonts w:eastAsia="SimSun" w:hint="eastAsia"/>
        </w:rPr>
        <w:t xml:space="preserve"> </w:t>
      </w:r>
      <w:r w:rsidR="00477215">
        <w:rPr>
          <w:rFonts w:eastAsia="SimSun"/>
        </w:rPr>
        <w:t>CE mode A</w:t>
      </w:r>
      <w:r w:rsidRPr="00F53306">
        <w:rPr>
          <w:rFonts w:eastAsia="SimSun"/>
        </w:rPr>
        <w:t xml:space="preserve">, UL grants are scheduled using DCI format 6-0A </w:t>
      </w:r>
      <w:r w:rsidR="00676073">
        <w:rPr>
          <w:rFonts w:eastAsia="SimSun"/>
        </w:rPr>
        <w:fldChar w:fldCharType="begin"/>
      </w:r>
      <w:r w:rsidR="00676073" w:rsidRPr="00F53306">
        <w:rPr>
          <w:rFonts w:eastAsia="SimSun"/>
        </w:rPr>
        <w:instrText xml:space="preserve"> REF _Ref478059891 \r \h </w:instrText>
      </w:r>
      <w:r w:rsidR="00676073">
        <w:rPr>
          <w:rFonts w:eastAsia="SimSun"/>
        </w:rPr>
      </w:r>
      <w:r w:rsidR="00676073">
        <w:rPr>
          <w:rFonts w:eastAsia="SimSun"/>
        </w:rPr>
        <w:fldChar w:fldCharType="separate"/>
      </w:r>
      <w:r w:rsidR="00D005B4">
        <w:rPr>
          <w:rFonts w:eastAsia="SimSun"/>
        </w:rPr>
        <w:t>[6]</w:t>
      </w:r>
      <w:r w:rsidR="00676073">
        <w:rPr>
          <w:rFonts w:eastAsia="SimSun"/>
        </w:rPr>
        <w:fldChar w:fldCharType="end"/>
      </w:r>
      <w:r w:rsidRPr="00F53306">
        <w:rPr>
          <w:rFonts w:eastAsia="SimSun"/>
        </w:rPr>
        <w:t xml:space="preserve">. </w:t>
      </w:r>
      <w:r w:rsidR="00DB77EC" w:rsidRPr="00F53306">
        <w:rPr>
          <w:rFonts w:eastAsia="SimSun"/>
        </w:rPr>
        <w:t>A resource block assignment field in the DCI indicates the PUSCH PRB allocation</w:t>
      </w:r>
      <w:r w:rsidR="00A453F0" w:rsidRPr="00F53306">
        <w:rPr>
          <w:rFonts w:eastAsia="SimSun"/>
        </w:rPr>
        <w:t>. The field consists of {5, 6, 7, 8, 9</w:t>
      </w:r>
      <w:r w:rsidR="00D476F7" w:rsidRPr="00F53306">
        <w:rPr>
          <w:rFonts w:eastAsia="SimSun"/>
        </w:rPr>
        <w:t>,</w:t>
      </w:r>
      <w:r w:rsidR="00A453F0" w:rsidRPr="00F53306">
        <w:rPr>
          <w:rFonts w:eastAsia="SimSun"/>
        </w:rPr>
        <w:t xml:space="preserve"> 9} bits </w:t>
      </w:r>
      <w:r w:rsidR="005C2600" w:rsidRPr="00F53306">
        <w:rPr>
          <w:rFonts w:eastAsia="SimSun"/>
        </w:rPr>
        <w:t>for a</w:t>
      </w:r>
      <w:r w:rsidR="00A453F0" w:rsidRPr="00F53306">
        <w:rPr>
          <w:rFonts w:eastAsia="SimSun"/>
        </w:rPr>
        <w:t xml:space="preserve"> system bandwidth</w:t>
      </w:r>
      <w:r w:rsidR="005C2600" w:rsidRPr="00F53306">
        <w:rPr>
          <w:rFonts w:eastAsia="SimSun"/>
        </w:rPr>
        <w:t xml:space="preserve"> of</w:t>
      </w:r>
      <w:r w:rsidR="00A453F0" w:rsidRPr="00F53306">
        <w:rPr>
          <w:rFonts w:eastAsia="SimSun"/>
        </w:rPr>
        <w:t xml:space="preserve"> {1.4, 3, 5, 10, 15, 20} </w:t>
      </w:r>
      <w:r w:rsidR="00793394" w:rsidRPr="00F53306">
        <w:rPr>
          <w:rFonts w:eastAsia="SimSun"/>
        </w:rPr>
        <w:t>MHz</w:t>
      </w:r>
      <w:r w:rsidR="00A453F0" w:rsidRPr="00F53306">
        <w:rPr>
          <w:rFonts w:eastAsia="SimSun"/>
        </w:rPr>
        <w:t xml:space="preserve">. </w:t>
      </w:r>
      <w:r w:rsidR="00EF53CF" w:rsidRPr="00F53306">
        <w:rPr>
          <w:rFonts w:eastAsia="SimSun"/>
        </w:rPr>
        <w:t>In CE mode B, all possible bit combinations are used, but in CE mode A, only some of the possible bit combinations are used</w:t>
      </w:r>
      <w:r w:rsidR="00676073" w:rsidRPr="00F53306">
        <w:rPr>
          <w:rFonts w:eastAsia="SimSun"/>
        </w:rPr>
        <w:t xml:space="preserve"> </w:t>
      </w:r>
      <w:r w:rsidR="00676073">
        <w:rPr>
          <w:rFonts w:eastAsia="SimSun"/>
        </w:rPr>
        <w:fldChar w:fldCharType="begin"/>
      </w:r>
      <w:r w:rsidR="00676073" w:rsidRPr="00F53306">
        <w:rPr>
          <w:rFonts w:eastAsia="SimSun"/>
        </w:rPr>
        <w:instrText xml:space="preserve"> REF _Ref478059906 \r \h </w:instrText>
      </w:r>
      <w:r w:rsidR="00676073">
        <w:rPr>
          <w:rFonts w:eastAsia="SimSun"/>
        </w:rPr>
      </w:r>
      <w:r w:rsidR="00676073">
        <w:rPr>
          <w:rFonts w:eastAsia="SimSun"/>
        </w:rPr>
        <w:fldChar w:fldCharType="separate"/>
      </w:r>
      <w:r w:rsidR="00D005B4">
        <w:rPr>
          <w:rFonts w:eastAsia="SimSun"/>
        </w:rPr>
        <w:t>[7]</w:t>
      </w:r>
      <w:r w:rsidR="00676073">
        <w:rPr>
          <w:rFonts w:eastAsia="SimSun"/>
        </w:rPr>
        <w:fldChar w:fldCharType="end"/>
      </w:r>
      <w:r w:rsidR="00676073">
        <w:rPr>
          <w:rFonts w:eastAsia="SimSun"/>
        </w:rPr>
        <w:fldChar w:fldCharType="begin"/>
      </w:r>
      <w:r w:rsidR="00676073" w:rsidRPr="00F53306">
        <w:rPr>
          <w:rFonts w:eastAsia="SimSun"/>
        </w:rPr>
        <w:instrText xml:space="preserve"> REF _Ref478058131 \r \h </w:instrText>
      </w:r>
      <w:r w:rsidR="00676073">
        <w:rPr>
          <w:rFonts w:eastAsia="SimSun"/>
        </w:rPr>
      </w:r>
      <w:r w:rsidR="00676073">
        <w:rPr>
          <w:rFonts w:eastAsia="SimSun"/>
        </w:rPr>
        <w:fldChar w:fldCharType="separate"/>
      </w:r>
      <w:r w:rsidR="00D005B4">
        <w:rPr>
          <w:rFonts w:eastAsia="SimSun"/>
        </w:rPr>
        <w:t>[8]</w:t>
      </w:r>
      <w:r w:rsidR="00676073">
        <w:rPr>
          <w:rFonts w:eastAsia="SimSun"/>
        </w:rPr>
        <w:fldChar w:fldCharType="end"/>
      </w:r>
      <w:r w:rsidR="00A371A6" w:rsidRPr="00F53306">
        <w:rPr>
          <w:rFonts w:eastAsia="SimSun"/>
        </w:rPr>
        <w:t xml:space="preserve">. For all possible configurations, </w:t>
      </w:r>
      <w:r w:rsidR="00EE7660" w:rsidRPr="00F53306">
        <w:rPr>
          <w:rFonts w:eastAsia="SimSun"/>
        </w:rPr>
        <w:t xml:space="preserve">at least 11 values are unused in CE mode A, </w:t>
      </w:r>
      <w:r w:rsidR="00EF53CF" w:rsidRPr="00F53306">
        <w:rPr>
          <w:rFonts w:eastAsia="SimSun"/>
        </w:rPr>
        <w:t xml:space="preserve">as shown in </w:t>
      </w:r>
      <w:r w:rsidR="00EB1374">
        <w:rPr>
          <w:rFonts w:eastAsia="SimSun"/>
        </w:rPr>
        <w:fldChar w:fldCharType="begin"/>
      </w:r>
      <w:r w:rsidR="00EB1374" w:rsidRPr="00F53306">
        <w:rPr>
          <w:rFonts w:eastAsia="SimSun"/>
        </w:rPr>
        <w:instrText xml:space="preserve"> REF _Ref478045855 \h </w:instrText>
      </w:r>
      <w:r w:rsidR="00EB1374">
        <w:rPr>
          <w:rFonts w:eastAsia="SimSun"/>
        </w:rPr>
      </w:r>
      <w:r w:rsidR="00EB1374">
        <w:rPr>
          <w:rFonts w:eastAsia="SimSun"/>
        </w:rPr>
        <w:fldChar w:fldCharType="separate"/>
      </w:r>
      <w:r w:rsidR="00D005B4" w:rsidRPr="00F53306">
        <w:t xml:space="preserve">Table </w:t>
      </w:r>
      <w:r w:rsidR="00D005B4">
        <w:rPr>
          <w:noProof/>
        </w:rPr>
        <w:t>2</w:t>
      </w:r>
      <w:r w:rsidR="00EB1374">
        <w:rPr>
          <w:rFonts w:eastAsia="SimSun"/>
        </w:rPr>
        <w:fldChar w:fldCharType="end"/>
      </w:r>
      <w:r w:rsidR="00A47C25" w:rsidRPr="00F53306">
        <w:rPr>
          <w:rFonts w:eastAsia="SimSun"/>
        </w:rPr>
        <w:t>.</w:t>
      </w:r>
    </w:p>
    <w:p w14:paraId="7C3E777F" w14:textId="2832A907" w:rsidR="00B375CE" w:rsidRPr="00F53306" w:rsidRDefault="00B375CE" w:rsidP="00B375CE">
      <w:pPr>
        <w:pStyle w:val="Caption"/>
      </w:pPr>
      <w:bookmarkStart w:id="58" w:name="_Ref478045855"/>
      <w:r w:rsidRPr="00F53306">
        <w:t xml:space="preserve">Table </w:t>
      </w:r>
      <w:r>
        <w:fldChar w:fldCharType="begin"/>
      </w:r>
      <w:r w:rsidRPr="00F53306">
        <w:instrText xml:space="preserve"> SEQ Table \* ARABIC </w:instrText>
      </w:r>
      <w:r>
        <w:fldChar w:fldCharType="separate"/>
      </w:r>
      <w:r w:rsidR="00D005B4">
        <w:rPr>
          <w:noProof/>
        </w:rPr>
        <w:t>2</w:t>
      </w:r>
      <w:r>
        <w:fldChar w:fldCharType="end"/>
      </w:r>
      <w:bookmarkEnd w:id="58"/>
      <w:r w:rsidRPr="00F53306">
        <w:t>: PUSCH resource allocation indices in CE mode A</w:t>
      </w:r>
    </w:p>
    <w:tbl>
      <w:tblPr>
        <w:tblW w:w="0" w:type="auto"/>
        <w:tblInd w:w="1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1390"/>
        <w:gridCol w:w="2790"/>
      </w:tblGrid>
      <w:tr w:rsidR="00756B9D" w:rsidRPr="00A54D03" w14:paraId="2887C5BE" w14:textId="77777777" w:rsidTr="000F440F">
        <w:trPr>
          <w:cantSplit/>
        </w:trPr>
        <w:tc>
          <w:tcPr>
            <w:tcW w:w="1940" w:type="dxa"/>
            <w:tcBorders>
              <w:bottom w:val="double" w:sz="4" w:space="0" w:color="auto"/>
              <w:right w:val="double" w:sz="4" w:space="0" w:color="auto"/>
            </w:tcBorders>
            <w:shd w:val="clear" w:color="auto" w:fill="E0E0E0"/>
            <w:vAlign w:val="center"/>
          </w:tcPr>
          <w:p w14:paraId="409C2ED8" w14:textId="5E141515" w:rsidR="00756B9D" w:rsidRDefault="00574F61" w:rsidP="00E07FE8">
            <w:pPr>
              <w:pStyle w:val="TAH"/>
              <w:rPr>
                <w:bCs/>
              </w:rPr>
            </w:pPr>
            <w:r>
              <w:rPr>
                <w:bCs/>
              </w:rPr>
              <w:t>Configured maximum PUSCH channel bandwidth</w:t>
            </w:r>
          </w:p>
        </w:tc>
        <w:tc>
          <w:tcPr>
            <w:tcW w:w="1390" w:type="dxa"/>
            <w:tcBorders>
              <w:bottom w:val="double" w:sz="4" w:space="0" w:color="auto"/>
              <w:right w:val="double" w:sz="4" w:space="0" w:color="auto"/>
            </w:tcBorders>
            <w:shd w:val="clear" w:color="auto" w:fill="E0E0E0"/>
            <w:vAlign w:val="center"/>
          </w:tcPr>
          <w:p w14:paraId="5ED4D76F" w14:textId="004A61F2" w:rsidR="00756B9D" w:rsidRPr="00D10AC8" w:rsidRDefault="00756B9D" w:rsidP="00E07FE8">
            <w:pPr>
              <w:pStyle w:val="TAH"/>
              <w:rPr>
                <w:bCs/>
              </w:rPr>
            </w:pPr>
            <w:r>
              <w:rPr>
                <w:bCs/>
              </w:rPr>
              <w:t>System bandwidth</w:t>
            </w:r>
          </w:p>
        </w:tc>
        <w:tc>
          <w:tcPr>
            <w:tcW w:w="2790" w:type="dxa"/>
            <w:tcBorders>
              <w:left w:val="double" w:sz="4" w:space="0" w:color="auto"/>
              <w:bottom w:val="double" w:sz="4" w:space="0" w:color="auto"/>
            </w:tcBorders>
            <w:shd w:val="clear" w:color="auto" w:fill="E0E0E0"/>
            <w:vAlign w:val="center"/>
          </w:tcPr>
          <w:p w14:paraId="2659B357" w14:textId="3A32F232" w:rsidR="00756B9D" w:rsidRPr="00E9040D" w:rsidRDefault="00E07FE8" w:rsidP="00E07FE8">
            <w:pPr>
              <w:pStyle w:val="TAH"/>
              <w:rPr>
                <w:bCs/>
              </w:rPr>
            </w:pPr>
            <w:r>
              <w:rPr>
                <w:bCs/>
              </w:rPr>
              <w:t>Number of unused values in resource block assignment field in DCI format 6-0A</w:t>
            </w:r>
          </w:p>
        </w:tc>
      </w:tr>
      <w:tr w:rsidR="00E07FE8" w:rsidRPr="00E9040D" w14:paraId="32E6902C" w14:textId="77777777" w:rsidTr="000F440F">
        <w:trPr>
          <w:cantSplit/>
        </w:trPr>
        <w:tc>
          <w:tcPr>
            <w:tcW w:w="1940" w:type="dxa"/>
            <w:vMerge w:val="restart"/>
            <w:tcBorders>
              <w:right w:val="double" w:sz="4" w:space="0" w:color="auto"/>
            </w:tcBorders>
            <w:vAlign w:val="center"/>
          </w:tcPr>
          <w:p w14:paraId="21C07A0B" w14:textId="2D8BD4F5" w:rsidR="00E07FE8" w:rsidRPr="00E07FE8" w:rsidRDefault="00E07FE8" w:rsidP="00E07FE8">
            <w:pPr>
              <w:pStyle w:val="TAC"/>
            </w:pPr>
            <w:r w:rsidRPr="00E07FE8">
              <w:t>1.4 MHz</w:t>
            </w:r>
          </w:p>
        </w:tc>
        <w:tc>
          <w:tcPr>
            <w:tcW w:w="1390" w:type="dxa"/>
            <w:tcBorders>
              <w:right w:val="double" w:sz="4" w:space="0" w:color="auto"/>
            </w:tcBorders>
            <w:shd w:val="clear" w:color="auto" w:fill="auto"/>
            <w:vAlign w:val="center"/>
          </w:tcPr>
          <w:p w14:paraId="213BEED5" w14:textId="51FE55EA" w:rsidR="00E07FE8" w:rsidRPr="00E07FE8" w:rsidRDefault="00E07FE8" w:rsidP="00E07FE8">
            <w:pPr>
              <w:pStyle w:val="TAC"/>
            </w:pPr>
            <w:r w:rsidRPr="00E07FE8">
              <w:t>1.4 MHz</w:t>
            </w:r>
          </w:p>
        </w:tc>
        <w:tc>
          <w:tcPr>
            <w:tcW w:w="2790" w:type="dxa"/>
            <w:tcBorders>
              <w:left w:val="double" w:sz="4" w:space="0" w:color="auto"/>
            </w:tcBorders>
            <w:vAlign w:val="center"/>
          </w:tcPr>
          <w:p w14:paraId="13461A1A" w14:textId="2ACB3B26" w:rsidR="00E07FE8" w:rsidRPr="005772B4" w:rsidRDefault="00E07FE8" w:rsidP="00E07FE8">
            <w:pPr>
              <w:pStyle w:val="TAC"/>
              <w:rPr>
                <w:b/>
              </w:rPr>
            </w:pPr>
            <w:r w:rsidRPr="005772B4">
              <w:rPr>
                <w:b/>
              </w:rPr>
              <w:t>11</w:t>
            </w:r>
          </w:p>
        </w:tc>
      </w:tr>
      <w:tr w:rsidR="00E07FE8" w:rsidRPr="00E9040D" w14:paraId="0C7169A4" w14:textId="77777777" w:rsidTr="000F440F">
        <w:trPr>
          <w:cantSplit/>
        </w:trPr>
        <w:tc>
          <w:tcPr>
            <w:tcW w:w="1940" w:type="dxa"/>
            <w:vMerge/>
            <w:tcBorders>
              <w:right w:val="double" w:sz="4" w:space="0" w:color="auto"/>
            </w:tcBorders>
            <w:vAlign w:val="center"/>
          </w:tcPr>
          <w:p w14:paraId="26DB415A" w14:textId="77777777" w:rsidR="00E07FE8" w:rsidRPr="00E07FE8" w:rsidRDefault="00E07FE8" w:rsidP="00E07FE8">
            <w:pPr>
              <w:pStyle w:val="TAC"/>
            </w:pPr>
          </w:p>
        </w:tc>
        <w:tc>
          <w:tcPr>
            <w:tcW w:w="1390" w:type="dxa"/>
            <w:tcBorders>
              <w:right w:val="double" w:sz="4" w:space="0" w:color="auto"/>
            </w:tcBorders>
            <w:shd w:val="clear" w:color="auto" w:fill="auto"/>
            <w:vAlign w:val="center"/>
          </w:tcPr>
          <w:p w14:paraId="4466E91F" w14:textId="61638737" w:rsidR="00E07FE8" w:rsidRPr="00E07FE8" w:rsidRDefault="00E07FE8" w:rsidP="00E07FE8">
            <w:pPr>
              <w:pStyle w:val="TAC"/>
            </w:pPr>
            <w:r w:rsidRPr="00E07FE8">
              <w:t>3 MHz</w:t>
            </w:r>
          </w:p>
        </w:tc>
        <w:tc>
          <w:tcPr>
            <w:tcW w:w="2790" w:type="dxa"/>
            <w:tcBorders>
              <w:left w:val="double" w:sz="4" w:space="0" w:color="auto"/>
            </w:tcBorders>
            <w:vAlign w:val="center"/>
          </w:tcPr>
          <w:p w14:paraId="3B0A126B" w14:textId="57C37CC8" w:rsidR="00E07FE8" w:rsidRPr="005772B4" w:rsidRDefault="00E07FE8" w:rsidP="00E07FE8">
            <w:pPr>
              <w:pStyle w:val="TAC"/>
            </w:pPr>
            <w:r w:rsidRPr="005772B4">
              <w:t xml:space="preserve">2 * 11 = </w:t>
            </w:r>
            <w:r w:rsidRPr="005772B4">
              <w:rPr>
                <w:b/>
              </w:rPr>
              <w:t>22</w:t>
            </w:r>
          </w:p>
        </w:tc>
      </w:tr>
      <w:tr w:rsidR="00E07FE8" w:rsidRPr="00E9040D" w14:paraId="7E55A327" w14:textId="77777777" w:rsidTr="000F440F">
        <w:trPr>
          <w:cantSplit/>
        </w:trPr>
        <w:tc>
          <w:tcPr>
            <w:tcW w:w="1940" w:type="dxa"/>
            <w:vMerge/>
            <w:tcBorders>
              <w:right w:val="double" w:sz="4" w:space="0" w:color="auto"/>
            </w:tcBorders>
            <w:vAlign w:val="center"/>
          </w:tcPr>
          <w:p w14:paraId="3CD46F00" w14:textId="77777777" w:rsidR="00E07FE8" w:rsidRPr="00E07FE8" w:rsidRDefault="00E07FE8" w:rsidP="00E07FE8">
            <w:pPr>
              <w:pStyle w:val="TAC"/>
            </w:pPr>
          </w:p>
        </w:tc>
        <w:tc>
          <w:tcPr>
            <w:tcW w:w="1390" w:type="dxa"/>
            <w:tcBorders>
              <w:right w:val="double" w:sz="4" w:space="0" w:color="auto"/>
            </w:tcBorders>
            <w:shd w:val="clear" w:color="auto" w:fill="auto"/>
            <w:vAlign w:val="center"/>
          </w:tcPr>
          <w:p w14:paraId="3CB31696" w14:textId="2DFA8B1B" w:rsidR="00E07FE8" w:rsidRPr="00E07FE8" w:rsidRDefault="00E07FE8" w:rsidP="00E07FE8">
            <w:pPr>
              <w:pStyle w:val="TAC"/>
            </w:pPr>
            <w:r w:rsidRPr="00E07FE8">
              <w:t>5 MHz</w:t>
            </w:r>
          </w:p>
        </w:tc>
        <w:tc>
          <w:tcPr>
            <w:tcW w:w="2790" w:type="dxa"/>
            <w:tcBorders>
              <w:left w:val="double" w:sz="4" w:space="0" w:color="auto"/>
            </w:tcBorders>
            <w:vAlign w:val="center"/>
          </w:tcPr>
          <w:p w14:paraId="3D764C30" w14:textId="2ACC005C" w:rsidR="00E07FE8" w:rsidRPr="005772B4" w:rsidRDefault="00E07FE8" w:rsidP="00E07FE8">
            <w:pPr>
              <w:pStyle w:val="TAC"/>
            </w:pPr>
            <w:r w:rsidRPr="005772B4">
              <w:t xml:space="preserve">4 * 11 = </w:t>
            </w:r>
            <w:r w:rsidRPr="005772B4">
              <w:rPr>
                <w:b/>
              </w:rPr>
              <w:t>44</w:t>
            </w:r>
          </w:p>
        </w:tc>
      </w:tr>
      <w:tr w:rsidR="00E07FE8" w:rsidRPr="00E9040D" w14:paraId="297F047A" w14:textId="77777777" w:rsidTr="000F440F">
        <w:trPr>
          <w:cantSplit/>
        </w:trPr>
        <w:tc>
          <w:tcPr>
            <w:tcW w:w="1940" w:type="dxa"/>
            <w:vMerge/>
            <w:tcBorders>
              <w:right w:val="double" w:sz="4" w:space="0" w:color="auto"/>
            </w:tcBorders>
            <w:vAlign w:val="center"/>
          </w:tcPr>
          <w:p w14:paraId="4E652B6A" w14:textId="77777777" w:rsidR="00E07FE8" w:rsidRPr="00E07FE8" w:rsidRDefault="00E07FE8" w:rsidP="00E07FE8">
            <w:pPr>
              <w:pStyle w:val="TAC"/>
            </w:pPr>
          </w:p>
        </w:tc>
        <w:tc>
          <w:tcPr>
            <w:tcW w:w="1390" w:type="dxa"/>
            <w:tcBorders>
              <w:right w:val="double" w:sz="4" w:space="0" w:color="auto"/>
            </w:tcBorders>
            <w:shd w:val="clear" w:color="auto" w:fill="auto"/>
            <w:vAlign w:val="center"/>
          </w:tcPr>
          <w:p w14:paraId="1A3F63F8" w14:textId="27512350" w:rsidR="00E07FE8" w:rsidRPr="00E07FE8" w:rsidRDefault="00E07FE8" w:rsidP="00E07FE8">
            <w:pPr>
              <w:pStyle w:val="TAC"/>
            </w:pPr>
            <w:r w:rsidRPr="00E07FE8">
              <w:t>10 MHz</w:t>
            </w:r>
          </w:p>
        </w:tc>
        <w:tc>
          <w:tcPr>
            <w:tcW w:w="2790" w:type="dxa"/>
            <w:tcBorders>
              <w:left w:val="double" w:sz="4" w:space="0" w:color="auto"/>
            </w:tcBorders>
            <w:vAlign w:val="center"/>
          </w:tcPr>
          <w:p w14:paraId="0CEADF23" w14:textId="4AFB186C" w:rsidR="00E07FE8" w:rsidRPr="005772B4" w:rsidRDefault="00E07FE8" w:rsidP="00E07FE8">
            <w:pPr>
              <w:pStyle w:val="TAC"/>
            </w:pPr>
            <w:r w:rsidRPr="005772B4">
              <w:t xml:space="preserve">8 * 11 = </w:t>
            </w:r>
            <w:r w:rsidRPr="005772B4">
              <w:rPr>
                <w:b/>
              </w:rPr>
              <w:t>88</w:t>
            </w:r>
          </w:p>
        </w:tc>
      </w:tr>
      <w:tr w:rsidR="00E07FE8" w:rsidRPr="00E9040D" w14:paraId="4DB5E94B" w14:textId="77777777" w:rsidTr="000F440F">
        <w:trPr>
          <w:cantSplit/>
        </w:trPr>
        <w:tc>
          <w:tcPr>
            <w:tcW w:w="1940" w:type="dxa"/>
            <w:vMerge/>
            <w:tcBorders>
              <w:right w:val="double" w:sz="4" w:space="0" w:color="auto"/>
            </w:tcBorders>
            <w:vAlign w:val="center"/>
          </w:tcPr>
          <w:p w14:paraId="6BDD6A8A" w14:textId="77777777" w:rsidR="00E07FE8" w:rsidRPr="00E07FE8" w:rsidRDefault="00E07FE8" w:rsidP="00E07FE8">
            <w:pPr>
              <w:pStyle w:val="TAC"/>
            </w:pPr>
          </w:p>
        </w:tc>
        <w:tc>
          <w:tcPr>
            <w:tcW w:w="1390" w:type="dxa"/>
            <w:tcBorders>
              <w:right w:val="double" w:sz="4" w:space="0" w:color="auto"/>
            </w:tcBorders>
            <w:shd w:val="clear" w:color="auto" w:fill="auto"/>
            <w:vAlign w:val="center"/>
          </w:tcPr>
          <w:p w14:paraId="284D1164" w14:textId="54182A8B" w:rsidR="00E07FE8" w:rsidRPr="00E07FE8" w:rsidRDefault="00E07FE8" w:rsidP="00E07FE8">
            <w:pPr>
              <w:pStyle w:val="TAC"/>
            </w:pPr>
            <w:r w:rsidRPr="00E07FE8">
              <w:t>15 MHz</w:t>
            </w:r>
          </w:p>
        </w:tc>
        <w:tc>
          <w:tcPr>
            <w:tcW w:w="2790" w:type="dxa"/>
            <w:tcBorders>
              <w:left w:val="double" w:sz="4" w:space="0" w:color="auto"/>
            </w:tcBorders>
            <w:vAlign w:val="center"/>
          </w:tcPr>
          <w:p w14:paraId="2FA0FA7A" w14:textId="69AE6841" w:rsidR="00E07FE8" w:rsidRPr="005772B4" w:rsidRDefault="00E07FE8" w:rsidP="00E07FE8">
            <w:pPr>
              <w:pStyle w:val="TAC"/>
            </w:pPr>
            <w:r w:rsidRPr="005772B4">
              <w:t xml:space="preserve">16 * 11 = </w:t>
            </w:r>
            <w:r w:rsidRPr="005772B4">
              <w:rPr>
                <w:b/>
              </w:rPr>
              <w:t>176</w:t>
            </w:r>
          </w:p>
        </w:tc>
      </w:tr>
      <w:tr w:rsidR="00E07FE8" w:rsidRPr="00E9040D" w14:paraId="7DB38F48" w14:textId="77777777" w:rsidTr="000F440F">
        <w:trPr>
          <w:cantSplit/>
        </w:trPr>
        <w:tc>
          <w:tcPr>
            <w:tcW w:w="1940" w:type="dxa"/>
            <w:vMerge/>
            <w:tcBorders>
              <w:right w:val="double" w:sz="4" w:space="0" w:color="auto"/>
            </w:tcBorders>
            <w:vAlign w:val="center"/>
          </w:tcPr>
          <w:p w14:paraId="00830AF0" w14:textId="77777777" w:rsidR="00E07FE8" w:rsidRPr="00E07FE8" w:rsidRDefault="00E07FE8" w:rsidP="00E07FE8">
            <w:pPr>
              <w:pStyle w:val="TAC"/>
            </w:pPr>
          </w:p>
        </w:tc>
        <w:tc>
          <w:tcPr>
            <w:tcW w:w="1390" w:type="dxa"/>
            <w:tcBorders>
              <w:right w:val="double" w:sz="4" w:space="0" w:color="auto"/>
            </w:tcBorders>
            <w:shd w:val="clear" w:color="auto" w:fill="auto"/>
            <w:vAlign w:val="center"/>
          </w:tcPr>
          <w:p w14:paraId="3E475282" w14:textId="45666C96" w:rsidR="00E07FE8" w:rsidRPr="00E07FE8" w:rsidRDefault="00E07FE8" w:rsidP="00E07FE8">
            <w:pPr>
              <w:pStyle w:val="TAC"/>
            </w:pPr>
            <w:r w:rsidRPr="00E07FE8">
              <w:t>20 MHz</w:t>
            </w:r>
          </w:p>
        </w:tc>
        <w:tc>
          <w:tcPr>
            <w:tcW w:w="2790" w:type="dxa"/>
            <w:tcBorders>
              <w:left w:val="double" w:sz="4" w:space="0" w:color="auto"/>
            </w:tcBorders>
            <w:vAlign w:val="center"/>
          </w:tcPr>
          <w:p w14:paraId="51351D58" w14:textId="5F634E14" w:rsidR="00E07FE8" w:rsidRPr="005772B4" w:rsidRDefault="00E07FE8" w:rsidP="00E07FE8">
            <w:pPr>
              <w:pStyle w:val="TAC"/>
            </w:pPr>
            <w:r w:rsidRPr="005772B4">
              <w:t xml:space="preserve">16 * 11 = </w:t>
            </w:r>
            <w:r w:rsidRPr="005772B4">
              <w:rPr>
                <w:b/>
              </w:rPr>
              <w:t>176</w:t>
            </w:r>
          </w:p>
        </w:tc>
      </w:tr>
      <w:tr w:rsidR="00E07FE8" w:rsidRPr="00E07FE8" w14:paraId="063694DB" w14:textId="77777777" w:rsidTr="000F440F">
        <w:trPr>
          <w:cantSplit/>
        </w:trPr>
        <w:tc>
          <w:tcPr>
            <w:tcW w:w="1940" w:type="dxa"/>
            <w:vMerge w:val="restart"/>
            <w:tcBorders>
              <w:right w:val="double" w:sz="4" w:space="0" w:color="auto"/>
            </w:tcBorders>
            <w:vAlign w:val="center"/>
          </w:tcPr>
          <w:p w14:paraId="3670A036" w14:textId="77777777" w:rsidR="00E07FE8" w:rsidRPr="00E07FE8" w:rsidRDefault="00E07FE8" w:rsidP="004D6DA5">
            <w:pPr>
              <w:pStyle w:val="TAC"/>
            </w:pPr>
            <w:r w:rsidRPr="00E07FE8">
              <w:t>5 MHz</w:t>
            </w:r>
          </w:p>
        </w:tc>
        <w:tc>
          <w:tcPr>
            <w:tcW w:w="1390" w:type="dxa"/>
            <w:tcBorders>
              <w:right w:val="double" w:sz="4" w:space="0" w:color="auto"/>
            </w:tcBorders>
            <w:shd w:val="clear" w:color="auto" w:fill="auto"/>
            <w:vAlign w:val="center"/>
          </w:tcPr>
          <w:p w14:paraId="19BEFA15" w14:textId="77777777" w:rsidR="00E07FE8" w:rsidRPr="00E07FE8" w:rsidRDefault="00E07FE8" w:rsidP="004D6DA5">
            <w:pPr>
              <w:pStyle w:val="TAC"/>
            </w:pPr>
            <w:r w:rsidRPr="00E07FE8">
              <w:t>1.4 MHz</w:t>
            </w:r>
          </w:p>
        </w:tc>
        <w:tc>
          <w:tcPr>
            <w:tcW w:w="2790" w:type="dxa"/>
            <w:tcBorders>
              <w:left w:val="double" w:sz="4" w:space="0" w:color="auto"/>
            </w:tcBorders>
            <w:vAlign w:val="center"/>
          </w:tcPr>
          <w:p w14:paraId="4E8CAF86" w14:textId="2694DC1E" w:rsidR="00E07FE8" w:rsidRPr="005772B4" w:rsidRDefault="00E07FE8" w:rsidP="004D6DA5">
            <w:pPr>
              <w:pStyle w:val="TAC"/>
            </w:pPr>
            <w:r w:rsidRPr="005772B4">
              <w:t xml:space="preserve">11 – 0 = </w:t>
            </w:r>
            <w:r w:rsidRPr="005772B4">
              <w:rPr>
                <w:b/>
              </w:rPr>
              <w:t>11</w:t>
            </w:r>
          </w:p>
        </w:tc>
      </w:tr>
      <w:tr w:rsidR="00E07FE8" w:rsidRPr="00E07FE8" w14:paraId="3A2C7C5A" w14:textId="77777777" w:rsidTr="000F440F">
        <w:trPr>
          <w:cantSplit/>
        </w:trPr>
        <w:tc>
          <w:tcPr>
            <w:tcW w:w="1940" w:type="dxa"/>
            <w:vMerge/>
            <w:tcBorders>
              <w:right w:val="double" w:sz="4" w:space="0" w:color="auto"/>
            </w:tcBorders>
            <w:vAlign w:val="center"/>
          </w:tcPr>
          <w:p w14:paraId="76F93B9F" w14:textId="77777777" w:rsidR="00E07FE8" w:rsidRPr="00E07FE8" w:rsidRDefault="00E07FE8" w:rsidP="004D6DA5">
            <w:pPr>
              <w:pStyle w:val="TAC"/>
            </w:pPr>
          </w:p>
        </w:tc>
        <w:tc>
          <w:tcPr>
            <w:tcW w:w="1390" w:type="dxa"/>
            <w:tcBorders>
              <w:right w:val="double" w:sz="4" w:space="0" w:color="auto"/>
            </w:tcBorders>
            <w:shd w:val="clear" w:color="auto" w:fill="auto"/>
            <w:vAlign w:val="center"/>
          </w:tcPr>
          <w:p w14:paraId="52712717" w14:textId="77777777" w:rsidR="00E07FE8" w:rsidRPr="00E07FE8" w:rsidRDefault="00E07FE8" w:rsidP="004D6DA5">
            <w:pPr>
              <w:pStyle w:val="TAC"/>
            </w:pPr>
            <w:r w:rsidRPr="00E07FE8">
              <w:t>3 MHz</w:t>
            </w:r>
          </w:p>
        </w:tc>
        <w:tc>
          <w:tcPr>
            <w:tcW w:w="2790" w:type="dxa"/>
            <w:tcBorders>
              <w:left w:val="double" w:sz="4" w:space="0" w:color="auto"/>
            </w:tcBorders>
            <w:vAlign w:val="center"/>
          </w:tcPr>
          <w:p w14:paraId="59F57F96" w14:textId="132692D3" w:rsidR="00E07FE8" w:rsidRPr="005772B4" w:rsidRDefault="00E07FE8" w:rsidP="004D6DA5">
            <w:pPr>
              <w:pStyle w:val="TAC"/>
            </w:pPr>
            <w:r w:rsidRPr="005772B4">
              <w:t xml:space="preserve">22 – 3 = </w:t>
            </w:r>
            <w:r w:rsidRPr="005772B4">
              <w:rPr>
                <w:b/>
              </w:rPr>
              <w:t>19</w:t>
            </w:r>
          </w:p>
        </w:tc>
      </w:tr>
      <w:tr w:rsidR="00E07FE8" w:rsidRPr="00E07FE8" w14:paraId="4BDD4BD1" w14:textId="77777777" w:rsidTr="000F440F">
        <w:trPr>
          <w:cantSplit/>
        </w:trPr>
        <w:tc>
          <w:tcPr>
            <w:tcW w:w="1940" w:type="dxa"/>
            <w:vMerge/>
            <w:tcBorders>
              <w:right w:val="double" w:sz="4" w:space="0" w:color="auto"/>
            </w:tcBorders>
            <w:vAlign w:val="center"/>
          </w:tcPr>
          <w:p w14:paraId="57AB60E3" w14:textId="77777777" w:rsidR="00E07FE8" w:rsidRPr="00E07FE8" w:rsidRDefault="00E07FE8" w:rsidP="004D6DA5">
            <w:pPr>
              <w:pStyle w:val="TAC"/>
            </w:pPr>
          </w:p>
        </w:tc>
        <w:tc>
          <w:tcPr>
            <w:tcW w:w="1390" w:type="dxa"/>
            <w:tcBorders>
              <w:right w:val="double" w:sz="4" w:space="0" w:color="auto"/>
            </w:tcBorders>
            <w:shd w:val="clear" w:color="auto" w:fill="auto"/>
            <w:vAlign w:val="center"/>
          </w:tcPr>
          <w:p w14:paraId="64B0B649" w14:textId="77777777" w:rsidR="00E07FE8" w:rsidRPr="00E07FE8" w:rsidRDefault="00E07FE8" w:rsidP="004D6DA5">
            <w:pPr>
              <w:pStyle w:val="TAC"/>
            </w:pPr>
            <w:r w:rsidRPr="00E07FE8">
              <w:t>5 MHz</w:t>
            </w:r>
          </w:p>
        </w:tc>
        <w:tc>
          <w:tcPr>
            <w:tcW w:w="2790" w:type="dxa"/>
            <w:tcBorders>
              <w:left w:val="double" w:sz="4" w:space="0" w:color="auto"/>
            </w:tcBorders>
            <w:vAlign w:val="center"/>
          </w:tcPr>
          <w:p w14:paraId="6A4DF5D8" w14:textId="231713B1" w:rsidR="00E07FE8" w:rsidRPr="005772B4" w:rsidRDefault="00E07FE8" w:rsidP="004D6DA5">
            <w:pPr>
              <w:pStyle w:val="TAC"/>
            </w:pPr>
            <w:r w:rsidRPr="005772B4">
              <w:t xml:space="preserve">44 – 19 = </w:t>
            </w:r>
            <w:r w:rsidRPr="005772B4">
              <w:rPr>
                <w:b/>
              </w:rPr>
              <w:t>25</w:t>
            </w:r>
          </w:p>
        </w:tc>
      </w:tr>
      <w:tr w:rsidR="00E07FE8" w:rsidRPr="00E07FE8" w14:paraId="308EAD69" w14:textId="77777777" w:rsidTr="000F440F">
        <w:trPr>
          <w:cantSplit/>
        </w:trPr>
        <w:tc>
          <w:tcPr>
            <w:tcW w:w="1940" w:type="dxa"/>
            <w:vMerge/>
            <w:tcBorders>
              <w:right w:val="double" w:sz="4" w:space="0" w:color="auto"/>
            </w:tcBorders>
            <w:vAlign w:val="center"/>
          </w:tcPr>
          <w:p w14:paraId="03B25D6E" w14:textId="77777777" w:rsidR="00E07FE8" w:rsidRPr="00E07FE8" w:rsidRDefault="00E07FE8" w:rsidP="004D6DA5">
            <w:pPr>
              <w:pStyle w:val="TAC"/>
            </w:pPr>
          </w:p>
        </w:tc>
        <w:tc>
          <w:tcPr>
            <w:tcW w:w="1390" w:type="dxa"/>
            <w:tcBorders>
              <w:right w:val="double" w:sz="4" w:space="0" w:color="auto"/>
            </w:tcBorders>
            <w:shd w:val="clear" w:color="auto" w:fill="auto"/>
            <w:vAlign w:val="center"/>
          </w:tcPr>
          <w:p w14:paraId="6CB709E4" w14:textId="77777777" w:rsidR="00E07FE8" w:rsidRPr="00E07FE8" w:rsidRDefault="00E07FE8" w:rsidP="004D6DA5">
            <w:pPr>
              <w:pStyle w:val="TAC"/>
            </w:pPr>
            <w:r w:rsidRPr="00E07FE8">
              <w:t>10 MHz</w:t>
            </w:r>
          </w:p>
        </w:tc>
        <w:tc>
          <w:tcPr>
            <w:tcW w:w="2790" w:type="dxa"/>
            <w:tcBorders>
              <w:left w:val="double" w:sz="4" w:space="0" w:color="auto"/>
            </w:tcBorders>
            <w:vAlign w:val="center"/>
          </w:tcPr>
          <w:p w14:paraId="4503743A" w14:textId="5E2BA8EB" w:rsidR="00E07FE8" w:rsidRPr="005772B4" w:rsidRDefault="00E07FE8" w:rsidP="004D6DA5">
            <w:pPr>
              <w:pStyle w:val="TAC"/>
            </w:pPr>
            <w:r w:rsidRPr="005772B4">
              <w:t xml:space="preserve">88 – 59 = </w:t>
            </w:r>
            <w:r w:rsidRPr="005772B4">
              <w:rPr>
                <w:b/>
              </w:rPr>
              <w:t>29</w:t>
            </w:r>
          </w:p>
        </w:tc>
      </w:tr>
      <w:tr w:rsidR="00E07FE8" w:rsidRPr="00E07FE8" w14:paraId="5242E669" w14:textId="77777777" w:rsidTr="000F440F">
        <w:trPr>
          <w:cantSplit/>
        </w:trPr>
        <w:tc>
          <w:tcPr>
            <w:tcW w:w="1940" w:type="dxa"/>
            <w:vMerge/>
            <w:tcBorders>
              <w:right w:val="double" w:sz="4" w:space="0" w:color="auto"/>
            </w:tcBorders>
            <w:vAlign w:val="center"/>
          </w:tcPr>
          <w:p w14:paraId="6C9F74E7" w14:textId="77777777" w:rsidR="00E07FE8" w:rsidRPr="00E07FE8" w:rsidRDefault="00E07FE8" w:rsidP="004D6DA5">
            <w:pPr>
              <w:pStyle w:val="TAC"/>
            </w:pPr>
          </w:p>
        </w:tc>
        <w:tc>
          <w:tcPr>
            <w:tcW w:w="1390" w:type="dxa"/>
            <w:tcBorders>
              <w:right w:val="double" w:sz="4" w:space="0" w:color="auto"/>
            </w:tcBorders>
            <w:shd w:val="clear" w:color="auto" w:fill="auto"/>
            <w:vAlign w:val="center"/>
          </w:tcPr>
          <w:p w14:paraId="3C54A101" w14:textId="77777777" w:rsidR="00E07FE8" w:rsidRPr="00E07FE8" w:rsidRDefault="00E07FE8" w:rsidP="004D6DA5">
            <w:pPr>
              <w:pStyle w:val="TAC"/>
            </w:pPr>
            <w:r w:rsidRPr="00E07FE8">
              <w:t>15 MHz</w:t>
            </w:r>
          </w:p>
        </w:tc>
        <w:tc>
          <w:tcPr>
            <w:tcW w:w="2790" w:type="dxa"/>
            <w:tcBorders>
              <w:left w:val="double" w:sz="4" w:space="0" w:color="auto"/>
            </w:tcBorders>
            <w:vAlign w:val="center"/>
          </w:tcPr>
          <w:p w14:paraId="15B16A2C" w14:textId="4908AFD9" w:rsidR="00E07FE8" w:rsidRPr="005772B4" w:rsidRDefault="00E07FE8" w:rsidP="004D6DA5">
            <w:pPr>
              <w:pStyle w:val="TAC"/>
            </w:pPr>
            <w:r w:rsidRPr="005772B4">
              <w:t xml:space="preserve">176 – 99 = </w:t>
            </w:r>
            <w:r w:rsidRPr="005772B4">
              <w:rPr>
                <w:b/>
              </w:rPr>
              <w:t>77</w:t>
            </w:r>
          </w:p>
        </w:tc>
      </w:tr>
      <w:tr w:rsidR="00E07FE8" w:rsidRPr="00E07FE8" w14:paraId="42866BA7" w14:textId="77777777" w:rsidTr="000F440F">
        <w:trPr>
          <w:cantSplit/>
        </w:trPr>
        <w:tc>
          <w:tcPr>
            <w:tcW w:w="1940" w:type="dxa"/>
            <w:vMerge/>
            <w:tcBorders>
              <w:right w:val="double" w:sz="4" w:space="0" w:color="auto"/>
            </w:tcBorders>
            <w:vAlign w:val="center"/>
          </w:tcPr>
          <w:p w14:paraId="6B8E2E79" w14:textId="77777777" w:rsidR="00E07FE8" w:rsidRPr="00E07FE8" w:rsidRDefault="00E07FE8" w:rsidP="004D6DA5">
            <w:pPr>
              <w:pStyle w:val="TAC"/>
            </w:pPr>
          </w:p>
        </w:tc>
        <w:tc>
          <w:tcPr>
            <w:tcW w:w="1390" w:type="dxa"/>
            <w:tcBorders>
              <w:right w:val="double" w:sz="4" w:space="0" w:color="auto"/>
            </w:tcBorders>
            <w:shd w:val="clear" w:color="auto" w:fill="auto"/>
            <w:vAlign w:val="center"/>
          </w:tcPr>
          <w:p w14:paraId="4899BA1D" w14:textId="77777777" w:rsidR="00E07FE8" w:rsidRPr="00E07FE8" w:rsidRDefault="00E07FE8" w:rsidP="004D6DA5">
            <w:pPr>
              <w:pStyle w:val="TAC"/>
            </w:pPr>
            <w:r w:rsidRPr="00E07FE8">
              <w:t>20 MHz</w:t>
            </w:r>
          </w:p>
        </w:tc>
        <w:tc>
          <w:tcPr>
            <w:tcW w:w="2790" w:type="dxa"/>
            <w:tcBorders>
              <w:left w:val="double" w:sz="4" w:space="0" w:color="auto"/>
            </w:tcBorders>
            <w:vAlign w:val="center"/>
          </w:tcPr>
          <w:p w14:paraId="4C85C293" w14:textId="027A67EA" w:rsidR="00E07FE8" w:rsidRPr="005772B4" w:rsidRDefault="00E07FE8" w:rsidP="004D6DA5">
            <w:pPr>
              <w:pStyle w:val="TAC"/>
            </w:pPr>
            <w:r w:rsidRPr="005772B4">
              <w:t xml:space="preserve">176 – 139 = </w:t>
            </w:r>
            <w:r w:rsidRPr="005772B4">
              <w:rPr>
                <w:b/>
              </w:rPr>
              <w:t>37</w:t>
            </w:r>
          </w:p>
        </w:tc>
      </w:tr>
    </w:tbl>
    <w:p w14:paraId="1D1609C3" w14:textId="540D3B50" w:rsidR="000F440F" w:rsidRPr="00F53306" w:rsidRDefault="000F440F" w:rsidP="00EF0182">
      <w:pPr>
        <w:rPr>
          <w:rFonts w:eastAsia="SimSun"/>
        </w:rPr>
      </w:pPr>
    </w:p>
    <w:p w14:paraId="3F40DC0A" w14:textId="72F6DEB5" w:rsidR="005B0D7F" w:rsidRDefault="00FA32C0" w:rsidP="00EF0182">
      <w:pPr>
        <w:rPr>
          <w:rFonts w:eastAsia="SimSun"/>
        </w:rPr>
      </w:pPr>
      <w:r w:rsidRPr="00F53306">
        <w:rPr>
          <w:rFonts w:hint="eastAsia"/>
        </w:rPr>
        <w:t>For</w:t>
      </w:r>
      <w:r w:rsidRPr="00F53306">
        <w:rPr>
          <w:rFonts w:eastAsia="SimSun" w:hint="eastAsia"/>
        </w:rPr>
        <w:t xml:space="preserve"> </w:t>
      </w:r>
      <w:r w:rsidR="00477215">
        <w:rPr>
          <w:rFonts w:eastAsia="SimSun"/>
        </w:rPr>
        <w:t>CE mode B</w:t>
      </w:r>
      <w:r w:rsidRPr="00F53306">
        <w:rPr>
          <w:rFonts w:eastAsia="SimSun"/>
        </w:rPr>
        <w:t xml:space="preserve">, UL grants are scheduled using DCI format 6-0B </w:t>
      </w:r>
      <w:r w:rsidR="00676073">
        <w:rPr>
          <w:rFonts w:eastAsia="SimSun"/>
        </w:rPr>
        <w:fldChar w:fldCharType="begin"/>
      </w:r>
      <w:r w:rsidR="00676073" w:rsidRPr="00F53306">
        <w:rPr>
          <w:rFonts w:eastAsia="SimSun"/>
        </w:rPr>
        <w:instrText xml:space="preserve"> REF _Ref478059891 \r \h </w:instrText>
      </w:r>
      <w:r w:rsidR="00676073">
        <w:rPr>
          <w:rFonts w:eastAsia="SimSun"/>
        </w:rPr>
      </w:r>
      <w:r w:rsidR="00676073">
        <w:rPr>
          <w:rFonts w:eastAsia="SimSun"/>
        </w:rPr>
        <w:fldChar w:fldCharType="separate"/>
      </w:r>
      <w:r w:rsidR="00D005B4">
        <w:rPr>
          <w:rFonts w:eastAsia="SimSun"/>
        </w:rPr>
        <w:t>[6]</w:t>
      </w:r>
      <w:r w:rsidR="00676073">
        <w:rPr>
          <w:rFonts w:eastAsia="SimSun"/>
        </w:rPr>
        <w:fldChar w:fldCharType="end"/>
      </w:r>
      <w:r w:rsidRPr="00F53306">
        <w:rPr>
          <w:rFonts w:eastAsia="SimSun"/>
        </w:rPr>
        <w:t xml:space="preserve">. </w:t>
      </w:r>
      <w:r w:rsidR="003554E8" w:rsidRPr="00F53306">
        <w:rPr>
          <w:rFonts w:eastAsia="SimSun"/>
        </w:rPr>
        <w:t xml:space="preserve">A </w:t>
      </w:r>
      <w:r w:rsidR="005B0D7F" w:rsidRPr="00F53306">
        <w:rPr>
          <w:rFonts w:eastAsia="SimSun"/>
        </w:rPr>
        <w:t>modulation and coding scheme (MCS) index is indicated by a 4-bit field in the DCI.</w:t>
      </w:r>
      <w:r w:rsidR="00165179" w:rsidRPr="00F53306">
        <w:rPr>
          <w:rFonts w:eastAsia="SimSun"/>
        </w:rPr>
        <w:t xml:space="preserve"> The MCS index is used to determine the modulation order and transport block size (TBS) index.</w:t>
      </w:r>
      <w:r w:rsidR="005B0D7F" w:rsidRPr="00F53306">
        <w:rPr>
          <w:rFonts w:eastAsia="SimSun"/>
        </w:rPr>
        <w:t xml:space="preserve"> </w:t>
      </w:r>
      <w:r w:rsidR="00A80666">
        <w:rPr>
          <w:rFonts w:eastAsia="SimSun"/>
        </w:rPr>
        <w:t>F</w:t>
      </w:r>
      <w:r w:rsidR="00602F05" w:rsidRPr="00F53306">
        <w:rPr>
          <w:rFonts w:eastAsia="SimSun"/>
        </w:rPr>
        <w:t xml:space="preserve">or CE mode B, </w:t>
      </w:r>
      <w:r w:rsidR="00B375CE" w:rsidRPr="00F53306">
        <w:t>MCS indices larger than 10 are</w:t>
      </w:r>
      <w:r w:rsidR="005B0D7F" w:rsidRPr="00F53306">
        <w:t xml:space="preserve"> not used</w:t>
      </w:r>
      <w:r w:rsidR="00676073" w:rsidRPr="00F53306">
        <w:t xml:space="preserve"> </w:t>
      </w:r>
      <w:r w:rsidR="00676073">
        <w:fldChar w:fldCharType="begin"/>
      </w:r>
      <w:r w:rsidR="00676073" w:rsidRPr="00F53306">
        <w:instrText xml:space="preserve"> REF _Ref478059906 \r \h </w:instrText>
      </w:r>
      <w:r w:rsidR="00676073">
        <w:fldChar w:fldCharType="separate"/>
      </w:r>
      <w:r w:rsidR="00D005B4">
        <w:t>[7]</w:t>
      </w:r>
      <w:r w:rsidR="00676073">
        <w:fldChar w:fldCharType="end"/>
      </w:r>
      <w:r w:rsidR="00165179" w:rsidRPr="00F53306">
        <w:t xml:space="preserve">, </w:t>
      </w:r>
      <w:r w:rsidR="00A936CD" w:rsidRPr="00F53306">
        <w:t xml:space="preserve">meaning that </w:t>
      </w:r>
      <w:r w:rsidR="00165179" w:rsidRPr="00F53306">
        <w:t>5 values are unused in C</w:t>
      </w:r>
      <w:r w:rsidR="00EB1374" w:rsidRPr="00F53306">
        <w:t>E mode B, as shown</w:t>
      </w:r>
      <w:r w:rsidR="00165179" w:rsidRPr="00F53306">
        <w:t xml:space="preserve"> in </w:t>
      </w:r>
      <w:r w:rsidR="00EF0182">
        <w:rPr>
          <w:rFonts w:eastAsia="SimSun"/>
        </w:rPr>
        <w:fldChar w:fldCharType="begin"/>
      </w:r>
      <w:r w:rsidR="00EF0182" w:rsidRPr="00F53306">
        <w:rPr>
          <w:rFonts w:eastAsia="SimSun"/>
        </w:rPr>
        <w:instrText xml:space="preserve"> </w:instrText>
      </w:r>
      <w:r w:rsidR="00EF0182" w:rsidRPr="00F53306">
        <w:rPr>
          <w:rFonts w:eastAsia="SimSun" w:hint="eastAsia"/>
        </w:rPr>
        <w:instrText>REF _Ref478032804 \h</w:instrText>
      </w:r>
      <w:r w:rsidR="00EF0182" w:rsidRPr="00F53306">
        <w:rPr>
          <w:rFonts w:eastAsia="SimSun"/>
        </w:rPr>
        <w:instrText xml:space="preserve"> </w:instrText>
      </w:r>
      <w:r w:rsidR="00EF0182">
        <w:rPr>
          <w:rFonts w:eastAsia="SimSun"/>
        </w:rPr>
      </w:r>
      <w:r w:rsidR="00EF0182">
        <w:rPr>
          <w:rFonts w:eastAsia="SimSun"/>
        </w:rPr>
        <w:fldChar w:fldCharType="separate"/>
      </w:r>
      <w:r w:rsidR="00D005B4" w:rsidRPr="00F53306">
        <w:t xml:space="preserve">Table </w:t>
      </w:r>
      <w:r w:rsidR="00D005B4">
        <w:rPr>
          <w:noProof/>
        </w:rPr>
        <w:t>3</w:t>
      </w:r>
      <w:r w:rsidR="00EF0182">
        <w:rPr>
          <w:rFonts w:eastAsia="SimSun"/>
        </w:rPr>
        <w:fldChar w:fldCharType="end"/>
      </w:r>
      <w:r w:rsidR="005B0D7F" w:rsidRPr="00F53306">
        <w:rPr>
          <w:rFonts w:eastAsia="SimSun" w:hint="eastAsia"/>
        </w:rPr>
        <w:t>.</w:t>
      </w:r>
    </w:p>
    <w:p w14:paraId="507A4093" w14:textId="78D132B1" w:rsidR="00EF0182" w:rsidRPr="00F53306" w:rsidRDefault="00EF0182" w:rsidP="00EF0182">
      <w:pPr>
        <w:pStyle w:val="Caption"/>
      </w:pPr>
      <w:bookmarkStart w:id="59" w:name="_Ref478032804"/>
      <w:r w:rsidRPr="00F53306">
        <w:t xml:space="preserve">Table </w:t>
      </w:r>
      <w:r>
        <w:fldChar w:fldCharType="begin"/>
      </w:r>
      <w:r w:rsidRPr="00F53306">
        <w:instrText xml:space="preserve"> SEQ Table \* ARABIC </w:instrText>
      </w:r>
      <w:r>
        <w:fldChar w:fldCharType="separate"/>
      </w:r>
      <w:r w:rsidR="00D005B4">
        <w:rPr>
          <w:noProof/>
        </w:rPr>
        <w:t>3</w:t>
      </w:r>
      <w:r>
        <w:fldChar w:fldCharType="end"/>
      </w:r>
      <w:bookmarkEnd w:id="59"/>
      <w:r w:rsidRPr="00F53306">
        <w:t xml:space="preserve">: </w:t>
      </w:r>
      <w:r w:rsidR="00244A7B" w:rsidRPr="00F53306">
        <w:t>PUSCH MCS indices</w:t>
      </w:r>
      <w:r w:rsidRPr="00F53306">
        <w:t xml:space="preserve"> in CE mode B</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1549"/>
        <w:gridCol w:w="943"/>
      </w:tblGrid>
      <w:tr w:rsidR="00EF0182" w:rsidRPr="00E9040D" w14:paraId="7D95F82F" w14:textId="77777777" w:rsidTr="004D6DA5">
        <w:trPr>
          <w:cantSplit/>
        </w:trPr>
        <w:tc>
          <w:tcPr>
            <w:tcW w:w="0" w:type="auto"/>
            <w:tcBorders>
              <w:bottom w:val="double" w:sz="4" w:space="0" w:color="auto"/>
              <w:right w:val="double" w:sz="4" w:space="0" w:color="auto"/>
            </w:tcBorders>
            <w:shd w:val="clear" w:color="auto" w:fill="E0E0E0"/>
            <w:vAlign w:val="center"/>
          </w:tcPr>
          <w:p w14:paraId="7D0C298E" w14:textId="7AC75A9F" w:rsidR="00EF0182" w:rsidRPr="00D10AC8" w:rsidRDefault="00B375CE" w:rsidP="004D6DA5">
            <w:pPr>
              <w:pStyle w:val="TAH"/>
              <w:rPr>
                <w:bCs/>
              </w:rPr>
            </w:pPr>
            <w:r>
              <w:rPr>
                <w:bCs/>
              </w:rPr>
              <w:lastRenderedPageBreak/>
              <w:t>MCS index</w:t>
            </w:r>
          </w:p>
        </w:tc>
        <w:tc>
          <w:tcPr>
            <w:tcW w:w="0" w:type="auto"/>
            <w:tcBorders>
              <w:left w:val="double" w:sz="4" w:space="0" w:color="auto"/>
              <w:bottom w:val="double" w:sz="4" w:space="0" w:color="auto"/>
            </w:tcBorders>
            <w:shd w:val="clear" w:color="auto" w:fill="E0E0E0"/>
            <w:vAlign w:val="center"/>
          </w:tcPr>
          <w:p w14:paraId="56A32AD7" w14:textId="19D278A6" w:rsidR="00EF0182" w:rsidRPr="00E9040D" w:rsidRDefault="00B375CE" w:rsidP="004D6DA5">
            <w:pPr>
              <w:pStyle w:val="TAH"/>
              <w:rPr>
                <w:bCs/>
              </w:rPr>
            </w:pPr>
            <w:r>
              <w:rPr>
                <w:bCs/>
              </w:rPr>
              <w:t>Modulation order</w:t>
            </w:r>
          </w:p>
        </w:tc>
        <w:tc>
          <w:tcPr>
            <w:tcW w:w="0" w:type="auto"/>
            <w:tcBorders>
              <w:bottom w:val="double" w:sz="4" w:space="0" w:color="auto"/>
            </w:tcBorders>
            <w:shd w:val="clear" w:color="auto" w:fill="E0E0E0"/>
            <w:vAlign w:val="center"/>
          </w:tcPr>
          <w:p w14:paraId="4CAF567E" w14:textId="1B5E3E79" w:rsidR="00EF0182" w:rsidRPr="00E9040D" w:rsidRDefault="00B375CE" w:rsidP="004D6DA5">
            <w:pPr>
              <w:pStyle w:val="TAH"/>
              <w:rPr>
                <w:bCs/>
              </w:rPr>
            </w:pPr>
            <w:r>
              <w:rPr>
                <w:bCs/>
              </w:rPr>
              <w:t>TBS index</w:t>
            </w:r>
          </w:p>
        </w:tc>
      </w:tr>
      <w:tr w:rsidR="00EF0182" w:rsidRPr="00E9040D" w14:paraId="29AC90A0" w14:textId="77777777" w:rsidTr="004D6DA5">
        <w:trPr>
          <w:cantSplit/>
        </w:trPr>
        <w:tc>
          <w:tcPr>
            <w:tcW w:w="0" w:type="auto"/>
            <w:tcBorders>
              <w:top w:val="double" w:sz="4" w:space="0" w:color="auto"/>
              <w:right w:val="double" w:sz="4" w:space="0" w:color="auto"/>
            </w:tcBorders>
            <w:shd w:val="clear" w:color="auto" w:fill="auto"/>
            <w:vAlign w:val="center"/>
          </w:tcPr>
          <w:p w14:paraId="7D5F3029" w14:textId="77777777" w:rsidR="00EF0182" w:rsidRPr="00E07FE8" w:rsidRDefault="00EF0182" w:rsidP="004D6DA5">
            <w:pPr>
              <w:pStyle w:val="TAC"/>
            </w:pPr>
            <w:r w:rsidRPr="00E07FE8">
              <w:t>0</w:t>
            </w:r>
          </w:p>
        </w:tc>
        <w:tc>
          <w:tcPr>
            <w:tcW w:w="0" w:type="auto"/>
            <w:tcBorders>
              <w:top w:val="double" w:sz="4" w:space="0" w:color="auto"/>
              <w:left w:val="double" w:sz="4" w:space="0" w:color="auto"/>
            </w:tcBorders>
            <w:vAlign w:val="center"/>
          </w:tcPr>
          <w:p w14:paraId="47C7964C" w14:textId="77777777" w:rsidR="00EF0182" w:rsidRPr="00E07FE8" w:rsidRDefault="00EF0182" w:rsidP="004D6DA5">
            <w:pPr>
              <w:pStyle w:val="TAC"/>
            </w:pPr>
            <w:r w:rsidRPr="00E07FE8">
              <w:t>2</w:t>
            </w:r>
          </w:p>
        </w:tc>
        <w:tc>
          <w:tcPr>
            <w:tcW w:w="0" w:type="auto"/>
            <w:tcBorders>
              <w:top w:val="double" w:sz="4" w:space="0" w:color="auto"/>
            </w:tcBorders>
            <w:vAlign w:val="center"/>
          </w:tcPr>
          <w:p w14:paraId="4EDDAFC2" w14:textId="77777777" w:rsidR="00EF0182" w:rsidRPr="00E07FE8" w:rsidRDefault="00EF0182" w:rsidP="004D6DA5">
            <w:pPr>
              <w:pStyle w:val="TAC"/>
            </w:pPr>
            <w:r w:rsidRPr="00E07FE8">
              <w:t>0</w:t>
            </w:r>
          </w:p>
        </w:tc>
      </w:tr>
      <w:tr w:rsidR="00EF0182" w:rsidRPr="00E9040D" w14:paraId="33242D24" w14:textId="77777777" w:rsidTr="004D6DA5">
        <w:trPr>
          <w:cantSplit/>
        </w:trPr>
        <w:tc>
          <w:tcPr>
            <w:tcW w:w="0" w:type="auto"/>
            <w:tcBorders>
              <w:right w:val="double" w:sz="4" w:space="0" w:color="auto"/>
            </w:tcBorders>
            <w:shd w:val="clear" w:color="auto" w:fill="auto"/>
            <w:vAlign w:val="center"/>
          </w:tcPr>
          <w:p w14:paraId="5C351A39" w14:textId="77777777" w:rsidR="00EF0182" w:rsidRPr="00E07FE8" w:rsidRDefault="00EF0182" w:rsidP="004D6DA5">
            <w:pPr>
              <w:pStyle w:val="TAC"/>
            </w:pPr>
            <w:r w:rsidRPr="00E07FE8">
              <w:t>1</w:t>
            </w:r>
          </w:p>
        </w:tc>
        <w:tc>
          <w:tcPr>
            <w:tcW w:w="0" w:type="auto"/>
            <w:tcBorders>
              <w:left w:val="double" w:sz="4" w:space="0" w:color="auto"/>
            </w:tcBorders>
            <w:vAlign w:val="center"/>
          </w:tcPr>
          <w:p w14:paraId="7C3BDD36" w14:textId="77777777" w:rsidR="00EF0182" w:rsidRPr="00E07FE8" w:rsidRDefault="00EF0182" w:rsidP="004D6DA5">
            <w:pPr>
              <w:pStyle w:val="TAC"/>
            </w:pPr>
            <w:r w:rsidRPr="00E07FE8">
              <w:t>2</w:t>
            </w:r>
          </w:p>
        </w:tc>
        <w:tc>
          <w:tcPr>
            <w:tcW w:w="0" w:type="auto"/>
            <w:vAlign w:val="center"/>
          </w:tcPr>
          <w:p w14:paraId="1FA25F06" w14:textId="77777777" w:rsidR="00EF0182" w:rsidRPr="00E07FE8" w:rsidRDefault="00EF0182" w:rsidP="004D6DA5">
            <w:pPr>
              <w:pStyle w:val="TAC"/>
            </w:pPr>
            <w:r w:rsidRPr="00E07FE8">
              <w:t>1</w:t>
            </w:r>
          </w:p>
        </w:tc>
      </w:tr>
      <w:tr w:rsidR="00EF0182" w:rsidRPr="00E9040D" w14:paraId="43906109" w14:textId="77777777" w:rsidTr="004D6DA5">
        <w:trPr>
          <w:cantSplit/>
        </w:trPr>
        <w:tc>
          <w:tcPr>
            <w:tcW w:w="0" w:type="auto"/>
            <w:tcBorders>
              <w:right w:val="double" w:sz="4" w:space="0" w:color="auto"/>
            </w:tcBorders>
            <w:shd w:val="clear" w:color="auto" w:fill="auto"/>
            <w:vAlign w:val="center"/>
          </w:tcPr>
          <w:p w14:paraId="0DE48E41" w14:textId="77777777" w:rsidR="00EF0182" w:rsidRPr="00E07FE8" w:rsidRDefault="00EF0182" w:rsidP="004D6DA5">
            <w:pPr>
              <w:pStyle w:val="TAC"/>
            </w:pPr>
            <w:r w:rsidRPr="00E07FE8">
              <w:t>2</w:t>
            </w:r>
          </w:p>
        </w:tc>
        <w:tc>
          <w:tcPr>
            <w:tcW w:w="0" w:type="auto"/>
            <w:tcBorders>
              <w:left w:val="double" w:sz="4" w:space="0" w:color="auto"/>
            </w:tcBorders>
            <w:vAlign w:val="center"/>
          </w:tcPr>
          <w:p w14:paraId="143214BB" w14:textId="77777777" w:rsidR="00EF0182" w:rsidRPr="00E07FE8" w:rsidRDefault="00EF0182" w:rsidP="004D6DA5">
            <w:pPr>
              <w:pStyle w:val="TAC"/>
            </w:pPr>
            <w:r w:rsidRPr="00E07FE8">
              <w:t>2</w:t>
            </w:r>
          </w:p>
        </w:tc>
        <w:tc>
          <w:tcPr>
            <w:tcW w:w="0" w:type="auto"/>
            <w:vAlign w:val="center"/>
          </w:tcPr>
          <w:p w14:paraId="6051F77D" w14:textId="77777777" w:rsidR="00EF0182" w:rsidRPr="00E07FE8" w:rsidRDefault="00EF0182" w:rsidP="004D6DA5">
            <w:pPr>
              <w:pStyle w:val="TAC"/>
            </w:pPr>
            <w:r w:rsidRPr="00E07FE8">
              <w:t>2</w:t>
            </w:r>
          </w:p>
        </w:tc>
      </w:tr>
      <w:tr w:rsidR="00EF0182" w:rsidRPr="00E9040D" w14:paraId="4E2C059A" w14:textId="77777777" w:rsidTr="004D6DA5">
        <w:trPr>
          <w:cantSplit/>
        </w:trPr>
        <w:tc>
          <w:tcPr>
            <w:tcW w:w="0" w:type="auto"/>
            <w:tcBorders>
              <w:right w:val="double" w:sz="4" w:space="0" w:color="auto"/>
            </w:tcBorders>
            <w:shd w:val="clear" w:color="auto" w:fill="auto"/>
            <w:vAlign w:val="center"/>
          </w:tcPr>
          <w:p w14:paraId="14E75BF5" w14:textId="77777777" w:rsidR="00EF0182" w:rsidRPr="00E07FE8" w:rsidRDefault="00EF0182" w:rsidP="004D6DA5">
            <w:pPr>
              <w:pStyle w:val="TAC"/>
            </w:pPr>
            <w:r w:rsidRPr="00E07FE8">
              <w:t>3</w:t>
            </w:r>
          </w:p>
        </w:tc>
        <w:tc>
          <w:tcPr>
            <w:tcW w:w="0" w:type="auto"/>
            <w:tcBorders>
              <w:left w:val="double" w:sz="4" w:space="0" w:color="auto"/>
            </w:tcBorders>
            <w:vAlign w:val="center"/>
          </w:tcPr>
          <w:p w14:paraId="0ABF76A3" w14:textId="77777777" w:rsidR="00EF0182" w:rsidRPr="00E07FE8" w:rsidRDefault="00EF0182" w:rsidP="004D6DA5">
            <w:pPr>
              <w:pStyle w:val="TAC"/>
            </w:pPr>
            <w:r w:rsidRPr="00E07FE8">
              <w:t>2</w:t>
            </w:r>
          </w:p>
        </w:tc>
        <w:tc>
          <w:tcPr>
            <w:tcW w:w="0" w:type="auto"/>
            <w:vAlign w:val="center"/>
          </w:tcPr>
          <w:p w14:paraId="6E36FA44" w14:textId="77777777" w:rsidR="00EF0182" w:rsidRPr="00E07FE8" w:rsidRDefault="00EF0182" w:rsidP="004D6DA5">
            <w:pPr>
              <w:pStyle w:val="TAC"/>
            </w:pPr>
            <w:r w:rsidRPr="00E07FE8">
              <w:t>3</w:t>
            </w:r>
          </w:p>
        </w:tc>
      </w:tr>
      <w:tr w:rsidR="00EF0182" w:rsidRPr="00E9040D" w14:paraId="2A589F98" w14:textId="77777777" w:rsidTr="004D6DA5">
        <w:trPr>
          <w:cantSplit/>
        </w:trPr>
        <w:tc>
          <w:tcPr>
            <w:tcW w:w="0" w:type="auto"/>
            <w:tcBorders>
              <w:right w:val="double" w:sz="4" w:space="0" w:color="auto"/>
            </w:tcBorders>
            <w:shd w:val="clear" w:color="auto" w:fill="auto"/>
            <w:vAlign w:val="center"/>
          </w:tcPr>
          <w:p w14:paraId="09DFCB60" w14:textId="77777777" w:rsidR="00EF0182" w:rsidRPr="00E07FE8" w:rsidRDefault="00EF0182" w:rsidP="004D6DA5">
            <w:pPr>
              <w:pStyle w:val="TAC"/>
            </w:pPr>
            <w:r w:rsidRPr="00E07FE8">
              <w:t>4</w:t>
            </w:r>
          </w:p>
        </w:tc>
        <w:tc>
          <w:tcPr>
            <w:tcW w:w="0" w:type="auto"/>
            <w:tcBorders>
              <w:left w:val="double" w:sz="4" w:space="0" w:color="auto"/>
            </w:tcBorders>
            <w:vAlign w:val="center"/>
          </w:tcPr>
          <w:p w14:paraId="6989E0F6" w14:textId="77777777" w:rsidR="00EF0182" w:rsidRPr="00E07FE8" w:rsidRDefault="00EF0182" w:rsidP="004D6DA5">
            <w:pPr>
              <w:pStyle w:val="TAC"/>
            </w:pPr>
            <w:r w:rsidRPr="00E07FE8">
              <w:t>2</w:t>
            </w:r>
          </w:p>
        </w:tc>
        <w:tc>
          <w:tcPr>
            <w:tcW w:w="0" w:type="auto"/>
            <w:vAlign w:val="center"/>
          </w:tcPr>
          <w:p w14:paraId="69883B52" w14:textId="77777777" w:rsidR="00EF0182" w:rsidRPr="00E07FE8" w:rsidRDefault="00EF0182" w:rsidP="004D6DA5">
            <w:pPr>
              <w:pStyle w:val="TAC"/>
            </w:pPr>
            <w:r w:rsidRPr="00E07FE8">
              <w:t>4</w:t>
            </w:r>
          </w:p>
        </w:tc>
      </w:tr>
      <w:tr w:rsidR="00EF0182" w:rsidRPr="00E9040D" w14:paraId="0CF455FB" w14:textId="77777777" w:rsidTr="004D6DA5">
        <w:trPr>
          <w:cantSplit/>
        </w:trPr>
        <w:tc>
          <w:tcPr>
            <w:tcW w:w="0" w:type="auto"/>
            <w:tcBorders>
              <w:right w:val="double" w:sz="4" w:space="0" w:color="auto"/>
            </w:tcBorders>
            <w:shd w:val="clear" w:color="auto" w:fill="auto"/>
            <w:vAlign w:val="center"/>
          </w:tcPr>
          <w:p w14:paraId="24EF45CA" w14:textId="77777777" w:rsidR="00EF0182" w:rsidRPr="00E07FE8" w:rsidRDefault="00EF0182" w:rsidP="004D6DA5">
            <w:pPr>
              <w:pStyle w:val="TAC"/>
            </w:pPr>
            <w:r w:rsidRPr="00E07FE8">
              <w:t>5</w:t>
            </w:r>
          </w:p>
        </w:tc>
        <w:tc>
          <w:tcPr>
            <w:tcW w:w="0" w:type="auto"/>
            <w:tcBorders>
              <w:left w:val="double" w:sz="4" w:space="0" w:color="auto"/>
            </w:tcBorders>
            <w:vAlign w:val="center"/>
          </w:tcPr>
          <w:p w14:paraId="0A55195F" w14:textId="77777777" w:rsidR="00EF0182" w:rsidRPr="00E07FE8" w:rsidRDefault="00EF0182" w:rsidP="004D6DA5">
            <w:pPr>
              <w:pStyle w:val="TAC"/>
            </w:pPr>
            <w:r w:rsidRPr="00E07FE8">
              <w:t>2</w:t>
            </w:r>
          </w:p>
        </w:tc>
        <w:tc>
          <w:tcPr>
            <w:tcW w:w="0" w:type="auto"/>
            <w:vAlign w:val="center"/>
          </w:tcPr>
          <w:p w14:paraId="7DBB13D2" w14:textId="77777777" w:rsidR="00EF0182" w:rsidRPr="00E07FE8" w:rsidRDefault="00EF0182" w:rsidP="004D6DA5">
            <w:pPr>
              <w:pStyle w:val="TAC"/>
            </w:pPr>
            <w:r w:rsidRPr="00E07FE8">
              <w:t>5</w:t>
            </w:r>
          </w:p>
        </w:tc>
      </w:tr>
      <w:tr w:rsidR="00EF0182" w:rsidRPr="00E9040D" w14:paraId="3B371EC7" w14:textId="77777777" w:rsidTr="004D6DA5">
        <w:trPr>
          <w:cantSplit/>
        </w:trPr>
        <w:tc>
          <w:tcPr>
            <w:tcW w:w="0" w:type="auto"/>
            <w:tcBorders>
              <w:right w:val="double" w:sz="4" w:space="0" w:color="auto"/>
            </w:tcBorders>
            <w:shd w:val="clear" w:color="auto" w:fill="auto"/>
            <w:vAlign w:val="center"/>
          </w:tcPr>
          <w:p w14:paraId="149326DF" w14:textId="77777777" w:rsidR="00EF0182" w:rsidRPr="00E07FE8" w:rsidRDefault="00EF0182" w:rsidP="004D6DA5">
            <w:pPr>
              <w:pStyle w:val="TAC"/>
            </w:pPr>
            <w:r w:rsidRPr="00E07FE8">
              <w:t>6</w:t>
            </w:r>
          </w:p>
        </w:tc>
        <w:tc>
          <w:tcPr>
            <w:tcW w:w="0" w:type="auto"/>
            <w:tcBorders>
              <w:left w:val="double" w:sz="4" w:space="0" w:color="auto"/>
            </w:tcBorders>
            <w:vAlign w:val="center"/>
          </w:tcPr>
          <w:p w14:paraId="6C4704B0" w14:textId="77777777" w:rsidR="00EF0182" w:rsidRPr="00E07FE8" w:rsidRDefault="00EF0182" w:rsidP="004D6DA5">
            <w:pPr>
              <w:pStyle w:val="TAC"/>
            </w:pPr>
            <w:r w:rsidRPr="00E07FE8">
              <w:t>2</w:t>
            </w:r>
          </w:p>
        </w:tc>
        <w:tc>
          <w:tcPr>
            <w:tcW w:w="0" w:type="auto"/>
            <w:vAlign w:val="center"/>
          </w:tcPr>
          <w:p w14:paraId="7B8BBF4E" w14:textId="77777777" w:rsidR="00EF0182" w:rsidRPr="00E07FE8" w:rsidRDefault="00EF0182" w:rsidP="004D6DA5">
            <w:pPr>
              <w:pStyle w:val="TAC"/>
            </w:pPr>
            <w:r w:rsidRPr="00E07FE8">
              <w:t>6</w:t>
            </w:r>
          </w:p>
        </w:tc>
      </w:tr>
      <w:tr w:rsidR="00EF0182" w:rsidRPr="00E9040D" w14:paraId="2CF249EA" w14:textId="77777777" w:rsidTr="004D6DA5">
        <w:trPr>
          <w:cantSplit/>
        </w:trPr>
        <w:tc>
          <w:tcPr>
            <w:tcW w:w="0" w:type="auto"/>
            <w:tcBorders>
              <w:right w:val="double" w:sz="4" w:space="0" w:color="auto"/>
            </w:tcBorders>
            <w:shd w:val="clear" w:color="auto" w:fill="auto"/>
            <w:vAlign w:val="center"/>
          </w:tcPr>
          <w:p w14:paraId="4CA4937B" w14:textId="77777777" w:rsidR="00EF0182" w:rsidRPr="00E07FE8" w:rsidRDefault="00EF0182" w:rsidP="004D6DA5">
            <w:pPr>
              <w:pStyle w:val="TAC"/>
            </w:pPr>
            <w:r w:rsidRPr="00E07FE8">
              <w:t>7</w:t>
            </w:r>
          </w:p>
        </w:tc>
        <w:tc>
          <w:tcPr>
            <w:tcW w:w="0" w:type="auto"/>
            <w:tcBorders>
              <w:left w:val="double" w:sz="4" w:space="0" w:color="auto"/>
            </w:tcBorders>
            <w:vAlign w:val="center"/>
          </w:tcPr>
          <w:p w14:paraId="60BAB1B2" w14:textId="77777777" w:rsidR="00EF0182" w:rsidRPr="00E07FE8" w:rsidRDefault="00EF0182" w:rsidP="004D6DA5">
            <w:pPr>
              <w:pStyle w:val="TAC"/>
            </w:pPr>
            <w:r w:rsidRPr="00E07FE8">
              <w:t>2</w:t>
            </w:r>
          </w:p>
        </w:tc>
        <w:tc>
          <w:tcPr>
            <w:tcW w:w="0" w:type="auto"/>
            <w:vAlign w:val="center"/>
          </w:tcPr>
          <w:p w14:paraId="753FD599" w14:textId="77777777" w:rsidR="00EF0182" w:rsidRPr="00E07FE8" w:rsidRDefault="00EF0182" w:rsidP="004D6DA5">
            <w:pPr>
              <w:pStyle w:val="TAC"/>
            </w:pPr>
            <w:r w:rsidRPr="00E07FE8">
              <w:t>7</w:t>
            </w:r>
          </w:p>
        </w:tc>
      </w:tr>
      <w:tr w:rsidR="00EF0182" w:rsidRPr="00E9040D" w14:paraId="3D3B7137" w14:textId="77777777" w:rsidTr="004D6DA5">
        <w:trPr>
          <w:cantSplit/>
        </w:trPr>
        <w:tc>
          <w:tcPr>
            <w:tcW w:w="0" w:type="auto"/>
            <w:tcBorders>
              <w:right w:val="double" w:sz="4" w:space="0" w:color="auto"/>
            </w:tcBorders>
            <w:shd w:val="clear" w:color="auto" w:fill="auto"/>
            <w:vAlign w:val="center"/>
          </w:tcPr>
          <w:p w14:paraId="660A6F3F" w14:textId="77777777" w:rsidR="00EF0182" w:rsidRPr="00E07FE8" w:rsidRDefault="00EF0182" w:rsidP="004D6DA5">
            <w:pPr>
              <w:pStyle w:val="TAC"/>
            </w:pPr>
            <w:r w:rsidRPr="00E07FE8">
              <w:t>8</w:t>
            </w:r>
          </w:p>
        </w:tc>
        <w:tc>
          <w:tcPr>
            <w:tcW w:w="0" w:type="auto"/>
            <w:tcBorders>
              <w:left w:val="double" w:sz="4" w:space="0" w:color="auto"/>
            </w:tcBorders>
            <w:vAlign w:val="center"/>
          </w:tcPr>
          <w:p w14:paraId="395AAA8A" w14:textId="77777777" w:rsidR="00EF0182" w:rsidRPr="00E07FE8" w:rsidRDefault="00EF0182" w:rsidP="004D6DA5">
            <w:pPr>
              <w:pStyle w:val="TAC"/>
            </w:pPr>
            <w:r w:rsidRPr="00E07FE8">
              <w:t>2</w:t>
            </w:r>
          </w:p>
        </w:tc>
        <w:tc>
          <w:tcPr>
            <w:tcW w:w="0" w:type="auto"/>
            <w:vAlign w:val="center"/>
          </w:tcPr>
          <w:p w14:paraId="664D4420" w14:textId="77777777" w:rsidR="00EF0182" w:rsidRPr="00E07FE8" w:rsidRDefault="00EF0182" w:rsidP="004D6DA5">
            <w:pPr>
              <w:pStyle w:val="TAC"/>
            </w:pPr>
            <w:r w:rsidRPr="00E07FE8">
              <w:t>8</w:t>
            </w:r>
          </w:p>
        </w:tc>
      </w:tr>
      <w:tr w:rsidR="00EF0182" w:rsidRPr="00E9040D" w14:paraId="4651E9D2" w14:textId="77777777" w:rsidTr="004D6DA5">
        <w:trPr>
          <w:cantSplit/>
        </w:trPr>
        <w:tc>
          <w:tcPr>
            <w:tcW w:w="0" w:type="auto"/>
            <w:tcBorders>
              <w:right w:val="double" w:sz="4" w:space="0" w:color="auto"/>
            </w:tcBorders>
            <w:shd w:val="clear" w:color="auto" w:fill="auto"/>
            <w:vAlign w:val="center"/>
          </w:tcPr>
          <w:p w14:paraId="2C7332E8" w14:textId="77777777" w:rsidR="00EF0182" w:rsidRPr="00E07FE8" w:rsidRDefault="00EF0182" w:rsidP="004D6DA5">
            <w:pPr>
              <w:pStyle w:val="TAC"/>
            </w:pPr>
            <w:r w:rsidRPr="00E07FE8">
              <w:t>9</w:t>
            </w:r>
          </w:p>
        </w:tc>
        <w:tc>
          <w:tcPr>
            <w:tcW w:w="0" w:type="auto"/>
            <w:tcBorders>
              <w:left w:val="double" w:sz="4" w:space="0" w:color="auto"/>
            </w:tcBorders>
            <w:vAlign w:val="center"/>
          </w:tcPr>
          <w:p w14:paraId="5A74C5A5" w14:textId="77777777" w:rsidR="00EF0182" w:rsidRPr="00E07FE8" w:rsidRDefault="00EF0182" w:rsidP="004D6DA5">
            <w:pPr>
              <w:pStyle w:val="TAC"/>
            </w:pPr>
            <w:r w:rsidRPr="00E07FE8">
              <w:t>2</w:t>
            </w:r>
          </w:p>
        </w:tc>
        <w:tc>
          <w:tcPr>
            <w:tcW w:w="0" w:type="auto"/>
            <w:vAlign w:val="center"/>
          </w:tcPr>
          <w:p w14:paraId="4CCF4333" w14:textId="77777777" w:rsidR="00EF0182" w:rsidRPr="00E07FE8" w:rsidRDefault="00EF0182" w:rsidP="004D6DA5">
            <w:pPr>
              <w:pStyle w:val="TAC"/>
            </w:pPr>
            <w:r w:rsidRPr="00E07FE8">
              <w:t>9</w:t>
            </w:r>
          </w:p>
        </w:tc>
      </w:tr>
      <w:tr w:rsidR="00EF0182" w:rsidRPr="00E9040D" w14:paraId="3241FE2D" w14:textId="77777777" w:rsidTr="004D6DA5">
        <w:trPr>
          <w:cantSplit/>
        </w:trPr>
        <w:tc>
          <w:tcPr>
            <w:tcW w:w="0" w:type="auto"/>
            <w:tcBorders>
              <w:right w:val="double" w:sz="4" w:space="0" w:color="auto"/>
            </w:tcBorders>
            <w:shd w:val="clear" w:color="auto" w:fill="auto"/>
            <w:vAlign w:val="center"/>
          </w:tcPr>
          <w:p w14:paraId="4F840584" w14:textId="77777777" w:rsidR="00EF0182" w:rsidRPr="00E07FE8" w:rsidRDefault="00EF0182" w:rsidP="004D6DA5">
            <w:pPr>
              <w:pStyle w:val="TAC"/>
            </w:pPr>
            <w:r w:rsidRPr="00E07FE8">
              <w:t>10</w:t>
            </w:r>
          </w:p>
        </w:tc>
        <w:tc>
          <w:tcPr>
            <w:tcW w:w="0" w:type="auto"/>
            <w:tcBorders>
              <w:left w:val="double" w:sz="4" w:space="0" w:color="auto"/>
            </w:tcBorders>
            <w:vAlign w:val="center"/>
          </w:tcPr>
          <w:p w14:paraId="16D465D5" w14:textId="77777777" w:rsidR="00EF0182" w:rsidRPr="00E07FE8" w:rsidRDefault="00EF0182" w:rsidP="004D6DA5">
            <w:pPr>
              <w:pStyle w:val="TAC"/>
              <w:rPr>
                <w:rFonts w:eastAsia="SimSun"/>
                <w:lang w:eastAsia="zh-CN"/>
              </w:rPr>
            </w:pPr>
            <w:r w:rsidRPr="00E07FE8">
              <w:rPr>
                <w:rFonts w:eastAsia="SimSun" w:hint="eastAsia"/>
                <w:lang w:eastAsia="zh-CN"/>
              </w:rPr>
              <w:t>2</w:t>
            </w:r>
          </w:p>
        </w:tc>
        <w:tc>
          <w:tcPr>
            <w:tcW w:w="0" w:type="auto"/>
            <w:vAlign w:val="center"/>
          </w:tcPr>
          <w:p w14:paraId="6D535DCA" w14:textId="77777777" w:rsidR="00EF0182" w:rsidRPr="00E07FE8" w:rsidRDefault="00EF0182" w:rsidP="004D6DA5">
            <w:pPr>
              <w:pStyle w:val="TAC"/>
            </w:pPr>
            <w:r w:rsidRPr="00E07FE8">
              <w:rPr>
                <w:rFonts w:eastAsia="SimSun" w:hint="eastAsia"/>
                <w:lang w:eastAsia="zh-CN"/>
              </w:rPr>
              <w:t>10</w:t>
            </w:r>
          </w:p>
        </w:tc>
      </w:tr>
      <w:tr w:rsidR="00EF0182" w:rsidRPr="00A54D03" w14:paraId="3E485359" w14:textId="77777777" w:rsidTr="004D6DA5">
        <w:trPr>
          <w:cantSplit/>
        </w:trPr>
        <w:tc>
          <w:tcPr>
            <w:tcW w:w="0" w:type="auto"/>
            <w:tcBorders>
              <w:right w:val="double" w:sz="4" w:space="0" w:color="auto"/>
            </w:tcBorders>
            <w:shd w:val="clear" w:color="auto" w:fill="auto"/>
            <w:vAlign w:val="center"/>
          </w:tcPr>
          <w:p w14:paraId="28C0DE7D" w14:textId="77777777" w:rsidR="00EF0182" w:rsidRPr="005772B4" w:rsidRDefault="00EF0182" w:rsidP="004D6DA5">
            <w:pPr>
              <w:pStyle w:val="TAC"/>
            </w:pPr>
            <w:r w:rsidRPr="005772B4">
              <w:t>11</w:t>
            </w:r>
          </w:p>
        </w:tc>
        <w:tc>
          <w:tcPr>
            <w:tcW w:w="0" w:type="auto"/>
            <w:gridSpan w:val="2"/>
            <w:vMerge w:val="restart"/>
            <w:tcBorders>
              <w:left w:val="double" w:sz="4" w:space="0" w:color="auto"/>
            </w:tcBorders>
            <w:vAlign w:val="center"/>
          </w:tcPr>
          <w:p w14:paraId="28361820" w14:textId="5759D6B3" w:rsidR="00EF0182" w:rsidRPr="00F53306" w:rsidRDefault="00EF0182" w:rsidP="004D6DA5">
            <w:pPr>
              <w:pStyle w:val="TAC"/>
              <w:rPr>
                <w:b/>
              </w:rPr>
            </w:pPr>
            <w:r w:rsidRPr="00F53306">
              <w:rPr>
                <w:b/>
              </w:rPr>
              <w:t>Unused in CE mode B</w:t>
            </w:r>
          </w:p>
        </w:tc>
      </w:tr>
      <w:tr w:rsidR="00EF0182" w:rsidRPr="00E9040D" w14:paraId="2A97AAC7" w14:textId="77777777" w:rsidTr="004D6DA5">
        <w:trPr>
          <w:cantSplit/>
        </w:trPr>
        <w:tc>
          <w:tcPr>
            <w:tcW w:w="0" w:type="auto"/>
            <w:tcBorders>
              <w:right w:val="double" w:sz="4" w:space="0" w:color="auto"/>
            </w:tcBorders>
            <w:shd w:val="clear" w:color="auto" w:fill="auto"/>
            <w:vAlign w:val="center"/>
          </w:tcPr>
          <w:p w14:paraId="77B2615C" w14:textId="77777777" w:rsidR="00EF0182" w:rsidRPr="005772B4" w:rsidRDefault="00EF0182" w:rsidP="004D6DA5">
            <w:pPr>
              <w:pStyle w:val="TAC"/>
            </w:pPr>
            <w:r w:rsidRPr="005772B4">
              <w:t>12</w:t>
            </w:r>
          </w:p>
        </w:tc>
        <w:tc>
          <w:tcPr>
            <w:tcW w:w="0" w:type="auto"/>
            <w:gridSpan w:val="2"/>
            <w:vMerge/>
            <w:tcBorders>
              <w:left w:val="double" w:sz="4" w:space="0" w:color="auto"/>
            </w:tcBorders>
            <w:vAlign w:val="center"/>
          </w:tcPr>
          <w:p w14:paraId="7672BBB3" w14:textId="3A38C7A7" w:rsidR="00EF0182" w:rsidRPr="00E9040D" w:rsidRDefault="00EF0182" w:rsidP="004D6DA5">
            <w:pPr>
              <w:pStyle w:val="TAC"/>
            </w:pPr>
          </w:p>
        </w:tc>
      </w:tr>
      <w:tr w:rsidR="00EF0182" w:rsidRPr="00E9040D" w14:paraId="4E30EBC6" w14:textId="77777777" w:rsidTr="004D6DA5">
        <w:trPr>
          <w:cantSplit/>
        </w:trPr>
        <w:tc>
          <w:tcPr>
            <w:tcW w:w="0" w:type="auto"/>
            <w:tcBorders>
              <w:right w:val="double" w:sz="4" w:space="0" w:color="auto"/>
            </w:tcBorders>
            <w:shd w:val="clear" w:color="auto" w:fill="auto"/>
            <w:vAlign w:val="center"/>
          </w:tcPr>
          <w:p w14:paraId="177F6BBD" w14:textId="77777777" w:rsidR="00EF0182" w:rsidRPr="005772B4" w:rsidRDefault="00EF0182" w:rsidP="004D6DA5">
            <w:pPr>
              <w:pStyle w:val="TAC"/>
            </w:pPr>
            <w:r w:rsidRPr="005772B4">
              <w:t>13</w:t>
            </w:r>
          </w:p>
        </w:tc>
        <w:tc>
          <w:tcPr>
            <w:tcW w:w="0" w:type="auto"/>
            <w:gridSpan w:val="2"/>
            <w:vMerge/>
            <w:tcBorders>
              <w:left w:val="double" w:sz="4" w:space="0" w:color="auto"/>
            </w:tcBorders>
            <w:vAlign w:val="center"/>
          </w:tcPr>
          <w:p w14:paraId="69C1E311" w14:textId="2F5024EA" w:rsidR="00EF0182" w:rsidRPr="00E9040D" w:rsidRDefault="00EF0182" w:rsidP="004D6DA5">
            <w:pPr>
              <w:pStyle w:val="TAC"/>
            </w:pPr>
          </w:p>
        </w:tc>
      </w:tr>
      <w:tr w:rsidR="00EF0182" w:rsidRPr="00E9040D" w14:paraId="3B6B16A8" w14:textId="77777777" w:rsidTr="004D6DA5">
        <w:trPr>
          <w:cantSplit/>
        </w:trPr>
        <w:tc>
          <w:tcPr>
            <w:tcW w:w="0" w:type="auto"/>
            <w:tcBorders>
              <w:right w:val="double" w:sz="4" w:space="0" w:color="auto"/>
            </w:tcBorders>
            <w:shd w:val="clear" w:color="auto" w:fill="auto"/>
            <w:vAlign w:val="center"/>
          </w:tcPr>
          <w:p w14:paraId="45D1FAA6" w14:textId="77777777" w:rsidR="00EF0182" w:rsidRPr="005772B4" w:rsidRDefault="00EF0182" w:rsidP="004D6DA5">
            <w:pPr>
              <w:pStyle w:val="TAC"/>
            </w:pPr>
            <w:r w:rsidRPr="005772B4">
              <w:t>14</w:t>
            </w:r>
          </w:p>
        </w:tc>
        <w:tc>
          <w:tcPr>
            <w:tcW w:w="0" w:type="auto"/>
            <w:gridSpan w:val="2"/>
            <w:vMerge/>
            <w:tcBorders>
              <w:left w:val="double" w:sz="4" w:space="0" w:color="auto"/>
            </w:tcBorders>
            <w:vAlign w:val="center"/>
          </w:tcPr>
          <w:p w14:paraId="6DD2649F" w14:textId="30A4F748" w:rsidR="00EF0182" w:rsidRPr="00E9040D" w:rsidRDefault="00EF0182" w:rsidP="004D6DA5">
            <w:pPr>
              <w:pStyle w:val="TAC"/>
            </w:pPr>
          </w:p>
        </w:tc>
      </w:tr>
      <w:tr w:rsidR="00EF0182" w:rsidRPr="00E9040D" w14:paraId="6721FA1C" w14:textId="77777777" w:rsidTr="004D6DA5">
        <w:trPr>
          <w:cantSplit/>
        </w:trPr>
        <w:tc>
          <w:tcPr>
            <w:tcW w:w="0" w:type="auto"/>
            <w:tcBorders>
              <w:right w:val="double" w:sz="4" w:space="0" w:color="auto"/>
            </w:tcBorders>
            <w:shd w:val="clear" w:color="auto" w:fill="auto"/>
            <w:vAlign w:val="center"/>
          </w:tcPr>
          <w:p w14:paraId="1650FE48" w14:textId="77777777" w:rsidR="00EF0182" w:rsidRPr="005772B4" w:rsidRDefault="00EF0182" w:rsidP="004D6DA5">
            <w:pPr>
              <w:pStyle w:val="TAC"/>
            </w:pPr>
            <w:r w:rsidRPr="005772B4">
              <w:t>15</w:t>
            </w:r>
          </w:p>
        </w:tc>
        <w:tc>
          <w:tcPr>
            <w:tcW w:w="0" w:type="auto"/>
            <w:gridSpan w:val="2"/>
            <w:vMerge/>
            <w:tcBorders>
              <w:left w:val="double" w:sz="4" w:space="0" w:color="auto"/>
            </w:tcBorders>
            <w:vAlign w:val="center"/>
          </w:tcPr>
          <w:p w14:paraId="41369C96" w14:textId="43AF4991" w:rsidR="00EF0182" w:rsidRPr="00E9040D" w:rsidRDefault="00EF0182" w:rsidP="004D6DA5">
            <w:pPr>
              <w:pStyle w:val="TAC"/>
            </w:pPr>
          </w:p>
        </w:tc>
      </w:tr>
    </w:tbl>
    <w:p w14:paraId="054BA9D6" w14:textId="146364A7" w:rsidR="00EF0182" w:rsidRDefault="00EF0182" w:rsidP="00CE0424">
      <w:pPr>
        <w:pStyle w:val="BodyText"/>
      </w:pPr>
    </w:p>
    <w:p w14:paraId="5C8B7465" w14:textId="1491FFC2" w:rsidR="009B503D" w:rsidRPr="00417510" w:rsidRDefault="00264D50" w:rsidP="009B503D">
      <w:pPr>
        <w:pStyle w:val="BodyText"/>
      </w:pPr>
      <w:r>
        <w:t xml:space="preserve">Based on the feedback from RAN2 </w:t>
      </w:r>
      <w:r w:rsidR="00683EB0">
        <w:rPr>
          <w:rFonts w:cs="Arial"/>
        </w:rPr>
        <w:fldChar w:fldCharType="begin"/>
      </w:r>
      <w:r w:rsidR="00683EB0">
        <w:rPr>
          <w:rFonts w:cs="Arial"/>
        </w:rPr>
        <w:instrText xml:space="preserve"> REF _Ref510098199 \r \h </w:instrText>
      </w:r>
      <w:r w:rsidR="00683EB0">
        <w:rPr>
          <w:rFonts w:cs="Arial"/>
        </w:rPr>
      </w:r>
      <w:r w:rsidR="00683EB0">
        <w:rPr>
          <w:rFonts w:cs="Arial"/>
        </w:rPr>
        <w:fldChar w:fldCharType="separate"/>
      </w:r>
      <w:r w:rsidR="00D005B4">
        <w:rPr>
          <w:rFonts w:cs="Arial"/>
        </w:rPr>
        <w:t>[4]</w:t>
      </w:r>
      <w:r w:rsidR="00683EB0">
        <w:rPr>
          <w:rFonts w:cs="Arial"/>
        </w:rPr>
        <w:fldChar w:fldCharType="end"/>
      </w:r>
      <w:r>
        <w:t>, we</w:t>
      </w:r>
      <w:r w:rsidR="009B503D">
        <w:t xml:space="preserve"> propose to confirm the wor</w:t>
      </w:r>
      <w:r w:rsidR="00BF7188">
        <w:t>king assumptions made in RAN1#91.</w:t>
      </w:r>
    </w:p>
    <w:p w14:paraId="6DDF7260" w14:textId="77777777" w:rsidR="007B5613" w:rsidRPr="00A70AB1" w:rsidRDefault="007B5613" w:rsidP="007B5613">
      <w:pPr>
        <w:pStyle w:val="Proposal"/>
      </w:pPr>
      <w:bookmarkStart w:id="60" w:name="_Toc505237445"/>
      <w:bookmarkStart w:id="61" w:name="_Toc505237496"/>
      <w:bookmarkStart w:id="62" w:name="_Toc505238327"/>
      <w:bookmarkStart w:id="63" w:name="_Toc506387645"/>
      <w:bookmarkStart w:id="64" w:name="_Toc506389118"/>
      <w:bookmarkStart w:id="65" w:name="_Toc506389254"/>
      <w:bookmarkStart w:id="66" w:name="_Toc506389459"/>
      <w:bookmarkStart w:id="67" w:name="_Toc506389759"/>
      <w:bookmarkStart w:id="68" w:name="_Toc506389925"/>
      <w:bookmarkStart w:id="69" w:name="_Toc506389950"/>
      <w:bookmarkStart w:id="70" w:name="_Toc506393277"/>
      <w:bookmarkStart w:id="71" w:name="_Toc506393532"/>
      <w:bookmarkStart w:id="72" w:name="_Toc506393555"/>
      <w:bookmarkStart w:id="73" w:name="_Toc506393648"/>
      <w:bookmarkStart w:id="74" w:name="_Toc506393807"/>
      <w:bookmarkStart w:id="75" w:name="_Toc506394052"/>
      <w:bookmarkStart w:id="76" w:name="_Toc506394247"/>
      <w:bookmarkStart w:id="77" w:name="_Toc506454841"/>
      <w:bookmarkStart w:id="78" w:name="_Toc506454879"/>
      <w:bookmarkStart w:id="79" w:name="_Toc506454941"/>
      <w:bookmarkStart w:id="80" w:name="_Toc506480324"/>
      <w:bookmarkStart w:id="81" w:name="_Toc510084185"/>
      <w:bookmarkStart w:id="82" w:name="_Toc510097854"/>
      <w:bookmarkStart w:id="83" w:name="_Toc510098189"/>
      <w:bookmarkStart w:id="84" w:name="_Toc510098207"/>
      <w:bookmarkStart w:id="85" w:name="_Toc510098352"/>
      <w:bookmarkStart w:id="86" w:name="_Toc510098375"/>
      <w:bookmarkStart w:id="87" w:name="_Toc510619995"/>
      <w:bookmarkStart w:id="88" w:name="_Toc510620030"/>
      <w:bookmarkStart w:id="89" w:name="_Toc510620148"/>
      <w:bookmarkStart w:id="90" w:name="_Toc510620302"/>
      <w:bookmarkStart w:id="91" w:name="_Toc510620662"/>
      <w:bookmarkStart w:id="92" w:name="_Toc510620719"/>
      <w:bookmarkStart w:id="93" w:name="_Toc510620766"/>
      <w:bookmarkStart w:id="94" w:name="_Toc510620775"/>
      <w:bookmarkStart w:id="95" w:name="_Toc510686699"/>
      <w:bookmarkStart w:id="96" w:name="_Toc510693555"/>
      <w:bookmarkStart w:id="97" w:name="_Toc510693566"/>
      <w:bookmarkStart w:id="98" w:name="_Toc510693920"/>
      <w:bookmarkStart w:id="99" w:name="_Toc510695511"/>
      <w:bookmarkStart w:id="100" w:name="_Toc510695613"/>
      <w:bookmarkStart w:id="101" w:name="_Toc510796495"/>
      <w:r w:rsidRPr="00A70AB1">
        <w:t>Confirm the working assumption that o</w:t>
      </w:r>
      <w:r w:rsidRPr="00A70AB1">
        <w:rPr>
          <w:iCs/>
        </w:rPr>
        <w:t>ne unused DCI state in each CE mode is used for indicating early termination of MPDCCH monitoring and early termination of any ongoing PUSCH transmission</w:t>
      </w:r>
      <w:bookmarkEnd w:id="60"/>
      <w:r>
        <w:rPr>
          <w:iCs/>
        </w:rPr>
        <w: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033C19D" w14:textId="77777777" w:rsidR="007B5613" w:rsidRPr="00A70AB1" w:rsidRDefault="007B5613" w:rsidP="007B5613">
      <w:pPr>
        <w:pStyle w:val="Proposal"/>
      </w:pPr>
      <w:bookmarkStart w:id="102" w:name="_Toc505237497"/>
      <w:bookmarkStart w:id="103" w:name="_Toc505238328"/>
      <w:bookmarkStart w:id="104" w:name="_Toc506387646"/>
      <w:bookmarkStart w:id="105" w:name="_Toc506389119"/>
      <w:bookmarkStart w:id="106" w:name="_Toc506389255"/>
      <w:bookmarkStart w:id="107" w:name="_Toc506389460"/>
      <w:bookmarkStart w:id="108" w:name="_Toc506389760"/>
      <w:bookmarkStart w:id="109" w:name="_Toc506389926"/>
      <w:bookmarkStart w:id="110" w:name="_Toc506389951"/>
      <w:bookmarkStart w:id="111" w:name="_Toc506393278"/>
      <w:bookmarkStart w:id="112" w:name="_Toc506393533"/>
      <w:bookmarkStart w:id="113" w:name="_Toc506393556"/>
      <w:bookmarkStart w:id="114" w:name="_Toc506393649"/>
      <w:bookmarkStart w:id="115" w:name="_Toc506393808"/>
      <w:bookmarkStart w:id="116" w:name="_Toc506394053"/>
      <w:bookmarkStart w:id="117" w:name="_Toc506394248"/>
      <w:bookmarkStart w:id="118" w:name="_Toc506454842"/>
      <w:bookmarkStart w:id="119" w:name="_Toc506454880"/>
      <w:bookmarkStart w:id="120" w:name="_Toc506454942"/>
      <w:bookmarkStart w:id="121" w:name="_Toc506480325"/>
      <w:bookmarkStart w:id="122" w:name="_Toc510084186"/>
      <w:bookmarkStart w:id="123" w:name="_Toc510097855"/>
      <w:bookmarkStart w:id="124" w:name="_Toc510098190"/>
      <w:bookmarkStart w:id="125" w:name="_Toc510098208"/>
      <w:bookmarkStart w:id="126" w:name="_Toc510098353"/>
      <w:bookmarkStart w:id="127" w:name="_Toc510098376"/>
      <w:bookmarkStart w:id="128" w:name="_Toc510619996"/>
      <w:bookmarkStart w:id="129" w:name="_Toc510620031"/>
      <w:bookmarkStart w:id="130" w:name="_Toc510620149"/>
      <w:bookmarkStart w:id="131" w:name="_Toc510620303"/>
      <w:bookmarkStart w:id="132" w:name="_Toc510620663"/>
      <w:bookmarkStart w:id="133" w:name="_Toc510620720"/>
      <w:bookmarkStart w:id="134" w:name="_Toc510620767"/>
      <w:bookmarkStart w:id="135" w:name="_Toc510620776"/>
      <w:bookmarkStart w:id="136" w:name="_Toc510686700"/>
      <w:bookmarkStart w:id="137" w:name="_Toc510693556"/>
      <w:bookmarkStart w:id="138" w:name="_Toc510693567"/>
      <w:bookmarkStart w:id="139" w:name="_Toc510693921"/>
      <w:bookmarkStart w:id="140" w:name="_Toc510695512"/>
      <w:bookmarkStart w:id="141" w:name="_Toc510695614"/>
      <w:bookmarkStart w:id="142" w:name="_Toc510796496"/>
      <w:r w:rsidRPr="00A70AB1">
        <w:t xml:space="preserve">Confirm the working assumption that </w:t>
      </w:r>
      <w:r>
        <w:t>a</w:t>
      </w:r>
      <w:r w:rsidRPr="00A70AB1">
        <w:t>nother unused DCI state in each CE mode is used for indicating early termination of any ongoing PUSCH transmission (without early termination of MPDCCH monitoring)</w:t>
      </w:r>
      <w:r>
        <w:rPr>
          <w:iCs/>
        </w:rPr>
        <w: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93024F2" w14:textId="5DB6C7DB" w:rsidR="007B5613" w:rsidRPr="00417510" w:rsidRDefault="00417510" w:rsidP="00CE0424">
      <w:pPr>
        <w:pStyle w:val="BodyText"/>
      </w:pPr>
      <w:r>
        <w:t xml:space="preserve">Since there are several WI objectives with impacts on the DCI definition </w:t>
      </w:r>
      <w:r>
        <w:fldChar w:fldCharType="begin"/>
      </w:r>
      <w:r w:rsidRPr="00F53306">
        <w:instrText xml:space="preserve"> REF _Ref174151459 \r \h </w:instrText>
      </w:r>
      <w:r>
        <w:fldChar w:fldCharType="separate"/>
      </w:r>
      <w:r w:rsidR="00D005B4">
        <w:t>[1]</w:t>
      </w:r>
      <w:r>
        <w:fldChar w:fldCharType="end"/>
      </w:r>
      <w:r w:rsidRPr="00417510">
        <w:t xml:space="preserve">, we propose that the </w:t>
      </w:r>
      <w:r w:rsidR="00732B93">
        <w:t>decision</w:t>
      </w:r>
      <w:r w:rsidR="00300F72">
        <w:t xml:space="preserve"> of what unused values to use for this signal is left open until </w:t>
      </w:r>
      <w:r w:rsidR="00A54D03">
        <w:t xml:space="preserve">the work with detailed DCI definitions for </w:t>
      </w:r>
      <w:r w:rsidR="00300F72">
        <w:t xml:space="preserve">other WI objectives </w:t>
      </w:r>
      <w:r w:rsidR="00A54D03">
        <w:t>has</w:t>
      </w:r>
      <w:r w:rsidR="00300F72">
        <w:t xml:space="preserve"> progressed further.</w:t>
      </w:r>
    </w:p>
    <w:p w14:paraId="0EE518B9" w14:textId="450685AE" w:rsidR="00366D34" w:rsidRDefault="00732B93" w:rsidP="00366D34">
      <w:pPr>
        <w:pStyle w:val="Proposal"/>
      </w:pPr>
      <w:bookmarkStart w:id="143" w:name="_Toc478060082"/>
      <w:bookmarkStart w:id="144" w:name="_Toc478060145"/>
      <w:bookmarkStart w:id="145" w:name="_Toc478060394"/>
      <w:bookmarkStart w:id="146" w:name="_Toc478060399"/>
      <w:bookmarkStart w:id="147" w:name="_Toc478060409"/>
      <w:bookmarkStart w:id="148" w:name="_Toc478060417"/>
      <w:bookmarkStart w:id="149" w:name="_Toc478060424"/>
      <w:bookmarkStart w:id="150" w:name="_Toc478060434"/>
      <w:bookmarkStart w:id="151" w:name="_Toc478060461"/>
      <w:bookmarkStart w:id="152" w:name="_Toc478060490"/>
      <w:bookmarkStart w:id="153" w:name="_Toc478062070"/>
      <w:bookmarkStart w:id="154" w:name="_Toc478062073"/>
      <w:bookmarkStart w:id="155" w:name="_Toc478062076"/>
      <w:bookmarkStart w:id="156" w:name="_Toc478062277"/>
      <w:bookmarkStart w:id="157" w:name="_Toc478063217"/>
      <w:bookmarkStart w:id="158" w:name="_Toc478124239"/>
      <w:bookmarkStart w:id="159" w:name="_Toc478124445"/>
      <w:bookmarkStart w:id="160" w:name="_Toc478146143"/>
      <w:bookmarkStart w:id="161" w:name="_Toc481601972"/>
      <w:bookmarkStart w:id="162" w:name="_Toc481601999"/>
      <w:bookmarkStart w:id="163" w:name="_Toc481602032"/>
      <w:bookmarkStart w:id="164" w:name="_Toc481670377"/>
      <w:bookmarkStart w:id="165" w:name="_Toc481670608"/>
      <w:bookmarkStart w:id="166" w:name="_Toc481671429"/>
      <w:bookmarkStart w:id="167" w:name="_Toc481671433"/>
      <w:bookmarkStart w:id="168" w:name="_Toc481671549"/>
      <w:bookmarkStart w:id="169" w:name="_Toc481671652"/>
      <w:bookmarkStart w:id="170" w:name="_Toc481671657"/>
      <w:bookmarkStart w:id="171" w:name="_Toc481671679"/>
      <w:bookmarkStart w:id="172" w:name="_Toc481671692"/>
      <w:bookmarkStart w:id="173" w:name="_Toc481671738"/>
      <w:bookmarkStart w:id="174" w:name="_Toc481671765"/>
      <w:bookmarkStart w:id="175" w:name="_Toc481745628"/>
      <w:bookmarkStart w:id="176" w:name="_Toc486582788"/>
      <w:bookmarkStart w:id="177" w:name="_Toc486582848"/>
      <w:bookmarkStart w:id="178" w:name="_Toc487112612"/>
      <w:bookmarkStart w:id="179" w:name="_Toc487112639"/>
      <w:bookmarkStart w:id="180" w:name="_Toc487112705"/>
      <w:bookmarkStart w:id="181" w:name="_Toc487112895"/>
      <w:bookmarkStart w:id="182" w:name="_Toc487112934"/>
      <w:bookmarkStart w:id="183" w:name="_Toc487114451"/>
      <w:bookmarkStart w:id="184" w:name="_Toc487114802"/>
      <w:bookmarkStart w:id="185" w:name="_Toc487114853"/>
      <w:bookmarkStart w:id="186" w:name="_Toc487114925"/>
      <w:bookmarkStart w:id="187" w:name="_Toc487114990"/>
      <w:bookmarkStart w:id="188" w:name="_Toc493764394"/>
      <w:bookmarkStart w:id="189" w:name="_Toc493764647"/>
      <w:bookmarkStart w:id="190" w:name="_Toc493764680"/>
      <w:bookmarkStart w:id="191" w:name="_Toc493764835"/>
      <w:bookmarkStart w:id="192" w:name="_Toc493764855"/>
      <w:bookmarkStart w:id="193" w:name="_Toc493764998"/>
      <w:bookmarkStart w:id="194" w:name="_Toc493765017"/>
      <w:bookmarkStart w:id="195" w:name="_Toc493765296"/>
      <w:bookmarkStart w:id="196" w:name="_Toc493765324"/>
      <w:bookmarkStart w:id="197" w:name="_Toc493765373"/>
      <w:bookmarkStart w:id="198" w:name="_Toc493765525"/>
      <w:bookmarkStart w:id="199" w:name="_Toc493765806"/>
      <w:bookmarkStart w:id="200" w:name="_Toc494467072"/>
      <w:bookmarkStart w:id="201" w:name="_Toc494467097"/>
      <w:bookmarkStart w:id="202" w:name="_Toc494467207"/>
      <w:bookmarkStart w:id="203" w:name="_Toc494467238"/>
      <w:bookmarkStart w:id="204" w:name="_Toc494467285"/>
      <w:bookmarkStart w:id="205" w:name="_Toc494467806"/>
      <w:bookmarkStart w:id="206" w:name="_Toc494468013"/>
      <w:bookmarkStart w:id="207" w:name="_Toc494468045"/>
      <w:bookmarkStart w:id="208" w:name="_Toc494468059"/>
      <w:bookmarkStart w:id="209" w:name="_Toc494468097"/>
      <w:bookmarkStart w:id="210" w:name="_Toc498001410"/>
      <w:bookmarkStart w:id="211" w:name="_Toc498347117"/>
      <w:bookmarkStart w:id="212" w:name="_Toc505237181"/>
      <w:bookmarkStart w:id="213" w:name="_Toc505237447"/>
      <w:bookmarkStart w:id="214" w:name="_Toc505237500"/>
      <w:bookmarkStart w:id="215" w:name="_Toc505238330"/>
      <w:bookmarkStart w:id="216" w:name="_Toc506387648"/>
      <w:bookmarkStart w:id="217" w:name="_Toc506389121"/>
      <w:bookmarkStart w:id="218" w:name="_Toc506389257"/>
      <w:bookmarkStart w:id="219" w:name="_Toc506389462"/>
      <w:bookmarkStart w:id="220" w:name="_Toc506389762"/>
      <w:bookmarkStart w:id="221" w:name="_Toc506389928"/>
      <w:bookmarkStart w:id="222" w:name="_Toc506389953"/>
      <w:bookmarkStart w:id="223" w:name="_Toc506393280"/>
      <w:bookmarkStart w:id="224" w:name="_Toc506393535"/>
      <w:bookmarkStart w:id="225" w:name="_Toc506393558"/>
      <w:bookmarkStart w:id="226" w:name="_Toc506393651"/>
      <w:bookmarkStart w:id="227" w:name="_Toc506393810"/>
      <w:bookmarkStart w:id="228" w:name="_Toc506394055"/>
      <w:bookmarkStart w:id="229" w:name="_Toc506394250"/>
      <w:bookmarkStart w:id="230" w:name="_Toc506454844"/>
      <w:bookmarkStart w:id="231" w:name="_Toc506454882"/>
      <w:bookmarkStart w:id="232" w:name="_Toc506454944"/>
      <w:bookmarkStart w:id="233" w:name="_Toc506480327"/>
      <w:bookmarkStart w:id="234" w:name="_Toc510084188"/>
      <w:bookmarkStart w:id="235" w:name="_Toc510097857"/>
      <w:bookmarkStart w:id="236" w:name="_Toc510098192"/>
      <w:bookmarkStart w:id="237" w:name="_Toc510098210"/>
      <w:bookmarkStart w:id="238" w:name="_Toc510098355"/>
      <w:bookmarkStart w:id="239" w:name="_Toc510098378"/>
      <w:bookmarkStart w:id="240" w:name="_Toc510619998"/>
      <w:bookmarkStart w:id="241" w:name="_Toc510620033"/>
      <w:bookmarkStart w:id="242" w:name="_Toc510620151"/>
      <w:bookmarkStart w:id="243" w:name="_Toc510620305"/>
      <w:bookmarkStart w:id="244" w:name="_Toc510620665"/>
      <w:bookmarkStart w:id="245" w:name="_Toc510620722"/>
      <w:bookmarkStart w:id="246" w:name="_Toc510620769"/>
      <w:bookmarkStart w:id="247" w:name="_Toc510620778"/>
      <w:bookmarkStart w:id="248" w:name="_Toc510686701"/>
      <w:bookmarkStart w:id="249" w:name="_Toc510693557"/>
      <w:bookmarkStart w:id="250" w:name="_Toc510693568"/>
      <w:bookmarkStart w:id="251" w:name="_Toc510693922"/>
      <w:bookmarkStart w:id="252" w:name="_Toc510695513"/>
      <w:bookmarkStart w:id="253" w:name="_Toc510695615"/>
      <w:bookmarkStart w:id="254" w:name="_Toc510796497"/>
      <w:r>
        <w:t>Leave the decision of what unused DCI values to use for this signal open until other WI objectives have progressed a bit further</w:t>
      </w:r>
      <w:r w:rsidR="00366D34" w:rsidRPr="00F53306">
        <w: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2367929" w14:textId="0B518C27" w:rsidR="0048349F" w:rsidRDefault="00A54D03" w:rsidP="0048349F">
      <w:pPr>
        <w:pStyle w:val="BodyText"/>
      </w:pPr>
      <w:r>
        <w:t>As an alternative</w:t>
      </w:r>
      <w:r w:rsidR="0048349F">
        <w:t xml:space="preserve">, </w:t>
      </w:r>
      <w:r w:rsidR="00015B80">
        <w:t xml:space="preserve">RAN1 could </w:t>
      </w:r>
      <w:r>
        <w:t>already now</w:t>
      </w:r>
      <w:r w:rsidR="00015B80">
        <w:t xml:space="preserve"> agree </w:t>
      </w:r>
      <w:r>
        <w:t xml:space="preserve">in principle </w:t>
      </w:r>
      <w:r w:rsidR="00015B80">
        <w:t>to us</w:t>
      </w:r>
      <w:r>
        <w:t>ing</w:t>
      </w:r>
      <w:r w:rsidR="00015B80">
        <w:t xml:space="preserve"> the highest unused values in the Resource block assignment and MCS fields, respectively</w:t>
      </w:r>
      <w:r>
        <w:t>, for the new HARQ-ACK feedback.</w:t>
      </w:r>
    </w:p>
    <w:p w14:paraId="491A1A8F" w14:textId="6539ED59" w:rsidR="000C74E8" w:rsidRDefault="009400AD" w:rsidP="008D4914">
      <w:pPr>
        <w:pStyle w:val="Heading1"/>
      </w:pPr>
      <w:r>
        <w:t>Other aspects</w:t>
      </w:r>
    </w:p>
    <w:p w14:paraId="7A53614B" w14:textId="67523792" w:rsidR="009400AD" w:rsidRPr="009400AD" w:rsidRDefault="009400AD" w:rsidP="009400AD">
      <w:pPr>
        <w:rPr>
          <w:lang w:val="en-GB" w:eastAsia="zh-CN"/>
        </w:rPr>
      </w:pPr>
      <w:r>
        <w:t>In our view the WI objective concerns connected mode and therefore we would not like to spend efforts on tweaking the explicit HARQ-ACK feedback so that it works also during random access.</w:t>
      </w:r>
    </w:p>
    <w:p w14:paraId="546EE214" w14:textId="5706267F" w:rsidR="009400AD" w:rsidRPr="00F53306" w:rsidRDefault="009400AD" w:rsidP="009400AD">
      <w:pPr>
        <w:pStyle w:val="Proposal"/>
      </w:pPr>
      <w:bookmarkStart w:id="255" w:name="_Toc510695514"/>
      <w:bookmarkStart w:id="256" w:name="_Toc510695616"/>
      <w:bookmarkStart w:id="257" w:name="_Toc510796498"/>
      <w:r>
        <w:t>Explicit HARQ-ACK feedback during random access is not considered further in Rel-15</w:t>
      </w:r>
      <w:r w:rsidRPr="00F53306">
        <w:t>.</w:t>
      </w:r>
      <w:bookmarkEnd w:id="255"/>
      <w:bookmarkEnd w:id="256"/>
      <w:bookmarkEnd w:id="257"/>
    </w:p>
    <w:p w14:paraId="2D417F2C" w14:textId="5A3C75C7" w:rsidR="000C74E8" w:rsidRDefault="00D0420D" w:rsidP="000C74E8">
      <w:pPr>
        <w:rPr>
          <w:lang w:val="en-GB" w:eastAsia="zh-CN"/>
        </w:rPr>
      </w:pPr>
      <w:r>
        <w:t>Existing MPDCCH search spaces provide sufficient opportunities for the new explicit HARQ-ACK feedback.</w:t>
      </w:r>
    </w:p>
    <w:p w14:paraId="3A1F78CB" w14:textId="687A7C1C" w:rsidR="000C74E8" w:rsidRPr="00F53306" w:rsidRDefault="000C74E8" w:rsidP="000C74E8">
      <w:pPr>
        <w:pStyle w:val="Proposal"/>
      </w:pPr>
      <w:bookmarkStart w:id="258" w:name="_Toc510693558"/>
      <w:bookmarkStart w:id="259" w:name="_Toc510693569"/>
      <w:bookmarkStart w:id="260" w:name="_Toc510693923"/>
      <w:bookmarkStart w:id="261" w:name="_Toc510695515"/>
      <w:bookmarkStart w:id="262" w:name="_Toc510695617"/>
      <w:bookmarkStart w:id="263" w:name="_Toc510796499"/>
      <w:r>
        <w:t>New or modified MPDCCH search spaces are not considered further in Rel-15</w:t>
      </w:r>
      <w:r w:rsidRPr="00F53306">
        <w:t>.</w:t>
      </w:r>
      <w:bookmarkEnd w:id="258"/>
      <w:bookmarkEnd w:id="259"/>
      <w:bookmarkEnd w:id="260"/>
      <w:bookmarkEnd w:id="261"/>
      <w:bookmarkEnd w:id="262"/>
      <w:bookmarkEnd w:id="263"/>
    </w:p>
    <w:p w14:paraId="794DC7BA" w14:textId="77777777" w:rsidR="008D4914" w:rsidRPr="00F53306" w:rsidRDefault="008D4914" w:rsidP="008D4914">
      <w:pPr>
        <w:rPr>
          <w:rFonts w:eastAsia="SimSun"/>
        </w:rPr>
      </w:pPr>
      <w:r>
        <w:rPr>
          <w:rFonts w:eastAsia="SimSun"/>
        </w:rPr>
        <w:t>It</w:t>
      </w:r>
      <w:r w:rsidRPr="00F53306">
        <w:rPr>
          <w:rFonts w:eastAsia="SimSun"/>
        </w:rPr>
        <w:t xml:space="preserve"> is desired that the UE indicates with capability signaling whether it supports the new</w:t>
      </w:r>
      <w:r>
        <w:rPr>
          <w:rFonts w:eastAsia="SimSun"/>
        </w:rPr>
        <w:t xml:space="preserve"> functionality </w:t>
      </w:r>
      <w:r w:rsidRPr="00F53306">
        <w:rPr>
          <w:rFonts w:eastAsia="SimSun"/>
        </w:rPr>
        <w:t>or not, so that the network can make an informed decision regarding whether to spend downlink resources on transmit</w:t>
      </w:r>
      <w:r>
        <w:rPr>
          <w:rFonts w:eastAsia="SimSun"/>
        </w:rPr>
        <w:t>ting the feedback signal or not.</w:t>
      </w:r>
    </w:p>
    <w:p w14:paraId="37F432DE" w14:textId="77777777" w:rsidR="008D4914" w:rsidRPr="00F53306" w:rsidRDefault="008D4914" w:rsidP="008D4914">
      <w:pPr>
        <w:pStyle w:val="Proposal"/>
      </w:pPr>
      <w:bookmarkStart w:id="264" w:name="_Toc498001406"/>
      <w:bookmarkStart w:id="265" w:name="_Toc498347113"/>
      <w:bookmarkStart w:id="266" w:name="_Toc505237177"/>
      <w:bookmarkStart w:id="267" w:name="_Toc505237442"/>
      <w:bookmarkStart w:id="268" w:name="_Toc505237493"/>
      <w:bookmarkStart w:id="269" w:name="_Toc505238324"/>
      <w:bookmarkStart w:id="270" w:name="_Toc506387642"/>
      <w:bookmarkStart w:id="271" w:name="_Toc506389115"/>
      <w:bookmarkStart w:id="272" w:name="_Toc506389251"/>
      <w:bookmarkStart w:id="273" w:name="_Toc506389456"/>
      <w:bookmarkStart w:id="274" w:name="_Toc506389756"/>
      <w:bookmarkStart w:id="275" w:name="_Toc506389922"/>
      <w:bookmarkStart w:id="276" w:name="_Toc506389947"/>
      <w:bookmarkStart w:id="277" w:name="_Toc506393274"/>
      <w:bookmarkStart w:id="278" w:name="_Toc506393529"/>
      <w:bookmarkStart w:id="279" w:name="_Toc506393552"/>
      <w:bookmarkStart w:id="280" w:name="_Toc506393645"/>
      <w:bookmarkStart w:id="281" w:name="_Toc506393804"/>
      <w:bookmarkStart w:id="282" w:name="_Toc506394050"/>
      <w:bookmarkStart w:id="283" w:name="_Toc506394244"/>
      <w:bookmarkStart w:id="284" w:name="_Toc506454838"/>
      <w:bookmarkStart w:id="285" w:name="_Toc506454876"/>
      <w:bookmarkStart w:id="286" w:name="_Toc506454938"/>
      <w:bookmarkStart w:id="287" w:name="_Toc506480321"/>
      <w:bookmarkStart w:id="288" w:name="_Toc510084183"/>
      <w:bookmarkStart w:id="289" w:name="_Toc510097852"/>
      <w:bookmarkStart w:id="290" w:name="_Toc510098187"/>
      <w:bookmarkStart w:id="291" w:name="_Toc510098205"/>
      <w:bookmarkStart w:id="292" w:name="_Toc510098350"/>
      <w:bookmarkStart w:id="293" w:name="_Toc510098373"/>
      <w:bookmarkStart w:id="294" w:name="_Toc510619993"/>
      <w:bookmarkStart w:id="295" w:name="_Toc510620028"/>
      <w:bookmarkStart w:id="296" w:name="_Toc510620146"/>
      <w:bookmarkStart w:id="297" w:name="_Toc510620300"/>
      <w:bookmarkStart w:id="298" w:name="_Toc510620660"/>
      <w:bookmarkStart w:id="299" w:name="_Toc510620717"/>
      <w:bookmarkStart w:id="300" w:name="_Toc510620770"/>
      <w:bookmarkStart w:id="301" w:name="_Toc510620779"/>
      <w:bookmarkStart w:id="302" w:name="_Toc510686702"/>
      <w:bookmarkStart w:id="303" w:name="_Toc510693559"/>
      <w:bookmarkStart w:id="304" w:name="_Toc510693570"/>
      <w:bookmarkStart w:id="305" w:name="_Toc510693924"/>
      <w:bookmarkStart w:id="306" w:name="_Toc510695516"/>
      <w:bookmarkStart w:id="307" w:name="_Toc510695618"/>
      <w:bookmarkStart w:id="308" w:name="_Toc510796500"/>
      <w:r>
        <w:lastRenderedPageBreak/>
        <w:t>From RAN1 point of view, the two sub-features (explicit HARQ-ACK feedback and early PUSCH termination) can either be separate or bundled into a single UE capability.</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t xml:space="preserve"> </w:t>
      </w:r>
    </w:p>
    <w:p w14:paraId="2C1B6BD4" w14:textId="77777777" w:rsidR="00C01F33" w:rsidRPr="00CE0424" w:rsidRDefault="00C01F33" w:rsidP="00CE0424">
      <w:pPr>
        <w:pStyle w:val="Heading1"/>
      </w:pPr>
      <w:r w:rsidRPr="00CE0424">
        <w:t>Conclusion</w:t>
      </w:r>
    </w:p>
    <w:p w14:paraId="23A2BD45" w14:textId="77777777" w:rsidR="00D005B4" w:rsidRDefault="00155D4F" w:rsidP="008E065E">
      <w:pPr>
        <w:pStyle w:val="BodyText"/>
        <w:rPr>
          <w:noProof/>
        </w:rPr>
      </w:pPr>
      <w:r w:rsidRPr="00F53306">
        <w:t>We</w:t>
      </w:r>
      <w:r w:rsidR="008E065E" w:rsidRPr="00F53306">
        <w:t xml:space="preserve"> propose the following:</w:t>
      </w:r>
      <w:r w:rsidR="008E065E">
        <w:rPr>
          <w:b/>
          <w:bCs/>
        </w:rPr>
        <w:fldChar w:fldCharType="begin"/>
      </w:r>
      <w:r w:rsidR="008E065E" w:rsidRPr="00F53306">
        <w:rPr>
          <w:b/>
          <w:bCs/>
        </w:rPr>
        <w:instrText xml:space="preserve"> TOC \f \n \p " " \t "Proposal;1" </w:instrText>
      </w:r>
      <w:r w:rsidR="008E065E">
        <w:rPr>
          <w:b/>
          <w:bCs/>
        </w:rPr>
        <w:fldChar w:fldCharType="separate"/>
      </w:r>
    </w:p>
    <w:p w14:paraId="3543BC03" w14:textId="77777777" w:rsidR="00D005B4" w:rsidRDefault="00D005B4">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Explicit HARQ-ACK feedback for multiple UEs carried in a single DCI is not considered further in Rel-15.</w:t>
      </w:r>
    </w:p>
    <w:p w14:paraId="02907E8F" w14:textId="77777777" w:rsidR="00D005B4" w:rsidRDefault="00D005B4">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Confirm the working assumption that o</w:t>
      </w:r>
      <w:r w:rsidRPr="00F02C47">
        <w:rPr>
          <w:iCs/>
        </w:rPr>
        <w:t>ne unused DCI state in each CE mode is used for indicating early termination of MPDCCH monitoring and early termination of any ongoing PUSCH transmission.</w:t>
      </w:r>
    </w:p>
    <w:p w14:paraId="7C53E1A7" w14:textId="77777777" w:rsidR="00D005B4" w:rsidRDefault="00D005B4">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Confirm the working assumption that another unused DCI state in each CE mode is used for indicating early termination of any ongoing PUSCH transmission (without early termination of MPDCCH monitoring)</w:t>
      </w:r>
      <w:r w:rsidRPr="00F02C47">
        <w:rPr>
          <w:iCs/>
        </w:rPr>
        <w:t>.</w:t>
      </w:r>
    </w:p>
    <w:p w14:paraId="3904BC3B" w14:textId="77777777" w:rsidR="00D005B4" w:rsidRDefault="00D005B4">
      <w:pPr>
        <w:pStyle w:val="TOC1"/>
        <w:rPr>
          <w:rFonts w:asciiTheme="minorHAnsi" w:eastAsiaTheme="minorEastAsia" w:hAnsiTheme="minorHAnsi" w:cstheme="minorBidi"/>
          <w:b w:val="0"/>
          <w:sz w:val="22"/>
          <w:lang w:val="sv-SE" w:eastAsia="sv-SE"/>
        </w:rPr>
      </w:pPr>
      <w:r>
        <w:t>Proposal 4</w:t>
      </w:r>
      <w:r>
        <w:rPr>
          <w:rFonts w:asciiTheme="minorHAnsi" w:eastAsiaTheme="minorEastAsia" w:hAnsiTheme="minorHAnsi" w:cstheme="minorBidi"/>
          <w:b w:val="0"/>
          <w:sz w:val="22"/>
          <w:lang w:val="sv-SE" w:eastAsia="sv-SE"/>
        </w:rPr>
        <w:tab/>
      </w:r>
      <w:r>
        <w:t>Leave the decision of what unused DCI values to use for this signal open until other WI objectives have progressed a bit further.</w:t>
      </w:r>
    </w:p>
    <w:p w14:paraId="05B5F7E2" w14:textId="77777777" w:rsidR="00D005B4" w:rsidRDefault="00D005B4">
      <w:pPr>
        <w:pStyle w:val="TOC1"/>
        <w:rPr>
          <w:rFonts w:asciiTheme="minorHAnsi" w:eastAsiaTheme="minorEastAsia" w:hAnsiTheme="minorHAnsi" w:cstheme="minorBidi"/>
          <w:b w:val="0"/>
          <w:sz w:val="22"/>
          <w:lang w:val="sv-SE" w:eastAsia="sv-SE"/>
        </w:rPr>
      </w:pPr>
      <w:r>
        <w:t>Proposal 5</w:t>
      </w:r>
      <w:r>
        <w:rPr>
          <w:rFonts w:asciiTheme="minorHAnsi" w:eastAsiaTheme="minorEastAsia" w:hAnsiTheme="minorHAnsi" w:cstheme="minorBidi"/>
          <w:b w:val="0"/>
          <w:sz w:val="22"/>
          <w:lang w:val="sv-SE" w:eastAsia="sv-SE"/>
        </w:rPr>
        <w:tab/>
      </w:r>
      <w:r>
        <w:t>Explicit HARQ-ACK feedback during random access is not considered further in Rel-15.</w:t>
      </w:r>
    </w:p>
    <w:p w14:paraId="30F3416A" w14:textId="77777777" w:rsidR="00D005B4" w:rsidRDefault="00D005B4">
      <w:pPr>
        <w:pStyle w:val="TOC1"/>
        <w:rPr>
          <w:rFonts w:asciiTheme="minorHAnsi" w:eastAsiaTheme="minorEastAsia" w:hAnsiTheme="minorHAnsi" w:cstheme="minorBidi"/>
          <w:b w:val="0"/>
          <w:sz w:val="22"/>
          <w:lang w:val="sv-SE" w:eastAsia="sv-SE"/>
        </w:rPr>
      </w:pPr>
      <w:r>
        <w:t>Proposal 6</w:t>
      </w:r>
      <w:r>
        <w:rPr>
          <w:rFonts w:asciiTheme="minorHAnsi" w:eastAsiaTheme="minorEastAsia" w:hAnsiTheme="minorHAnsi" w:cstheme="minorBidi"/>
          <w:b w:val="0"/>
          <w:sz w:val="22"/>
          <w:lang w:val="sv-SE" w:eastAsia="sv-SE"/>
        </w:rPr>
        <w:tab/>
      </w:r>
      <w:r>
        <w:t>New or modified MPDCCH search spaces are not considered further in Rel-15.</w:t>
      </w:r>
    </w:p>
    <w:p w14:paraId="7F214EB4" w14:textId="77777777" w:rsidR="00D005B4" w:rsidRDefault="00D005B4">
      <w:pPr>
        <w:pStyle w:val="TOC1"/>
        <w:rPr>
          <w:rFonts w:asciiTheme="minorHAnsi" w:eastAsiaTheme="minorEastAsia" w:hAnsiTheme="minorHAnsi" w:cstheme="minorBidi"/>
          <w:b w:val="0"/>
          <w:sz w:val="22"/>
          <w:lang w:val="sv-SE" w:eastAsia="sv-SE"/>
        </w:rPr>
      </w:pPr>
      <w:r>
        <w:t>Proposal 7</w:t>
      </w:r>
      <w:r>
        <w:rPr>
          <w:rFonts w:asciiTheme="minorHAnsi" w:eastAsiaTheme="minorEastAsia" w:hAnsiTheme="minorHAnsi" w:cstheme="minorBidi"/>
          <w:b w:val="0"/>
          <w:sz w:val="22"/>
          <w:lang w:val="sv-SE" w:eastAsia="sv-SE"/>
        </w:rPr>
        <w:tab/>
      </w:r>
      <w:r>
        <w:t>From RAN1 point of view, the two sub-features (explicit HARQ-ACK feedback and early PUSCH termination) can either be separate or bundled into a single UE capability.</w:t>
      </w:r>
    </w:p>
    <w:p w14:paraId="70967945" w14:textId="434F2021" w:rsidR="00C01F33" w:rsidRPr="00F53306" w:rsidRDefault="008E065E" w:rsidP="006E062C">
      <w:pPr>
        <w:rPr>
          <w:b/>
          <w:bCs/>
        </w:rPr>
      </w:pPr>
      <w:r>
        <w:rPr>
          <w:b/>
          <w:bCs/>
        </w:rPr>
        <w:fldChar w:fldCharType="end"/>
      </w:r>
    </w:p>
    <w:p w14:paraId="57B73A36" w14:textId="77777777" w:rsidR="00F507D1" w:rsidRPr="00C048C0" w:rsidRDefault="00F507D1" w:rsidP="00CE0424">
      <w:pPr>
        <w:pStyle w:val="Heading1"/>
      </w:pPr>
      <w:bookmarkStart w:id="309" w:name="_In-sequence_SDU_delivery"/>
      <w:bookmarkEnd w:id="309"/>
      <w:r w:rsidRPr="00CE0424">
        <w:t>Refere</w:t>
      </w:r>
      <w:r w:rsidRPr="00C048C0">
        <w:t>nces</w:t>
      </w:r>
    </w:p>
    <w:bookmarkStart w:id="310" w:name="_Ref449678105"/>
    <w:bookmarkStart w:id="311" w:name="_Ref453835673"/>
    <w:bookmarkStart w:id="312" w:name="_Ref174151459"/>
    <w:bookmarkStart w:id="313" w:name="_Ref189809556"/>
    <w:p w14:paraId="5BFA2ACA" w14:textId="78ED9CD6" w:rsidR="00C048C0" w:rsidRPr="00F53306" w:rsidRDefault="00BB1EC7" w:rsidP="00C048C0">
      <w:pPr>
        <w:pStyle w:val="Reference"/>
        <w:numPr>
          <w:ilvl w:val="0"/>
          <w:numId w:val="15"/>
        </w:numPr>
      </w:pPr>
      <w:r w:rsidRPr="00BB1EC7">
        <w:rPr>
          <w:i/>
          <w:iCs/>
        </w:rPr>
        <w:fldChar w:fldCharType="begin"/>
      </w:r>
      <w:r w:rsidRPr="00BB1EC7">
        <w:rPr>
          <w:i/>
          <w:iCs/>
        </w:rPr>
        <w:instrText xml:space="preserve"> HYPERLINK "http://www.3gpp.org/ftp/tsg_ran/TSG_RAN/TSGR_78/Docs/RP-172811.zip" </w:instrText>
      </w:r>
      <w:r w:rsidR="00D005B4" w:rsidRPr="00BB1EC7">
        <w:rPr>
          <w:i/>
          <w:iCs/>
        </w:rPr>
      </w:r>
      <w:r w:rsidRPr="00BB1EC7">
        <w:rPr>
          <w:i/>
          <w:iCs/>
        </w:rPr>
        <w:fldChar w:fldCharType="separate"/>
      </w:r>
      <w:r w:rsidRPr="00BB1EC7">
        <w:rPr>
          <w:rStyle w:val="Hyperlink"/>
          <w:lang w:val="en-US"/>
        </w:rPr>
        <w:t>RP-172811</w:t>
      </w:r>
      <w:r w:rsidRPr="00BB1EC7">
        <w:fldChar w:fldCharType="end"/>
      </w:r>
      <w:r w:rsidR="00B97752" w:rsidRPr="00F53306">
        <w:t xml:space="preserve">, </w:t>
      </w:r>
      <w:r w:rsidR="00C048C0" w:rsidRPr="00F53306">
        <w:t>“</w:t>
      </w:r>
      <w:bookmarkEnd w:id="310"/>
      <w:bookmarkEnd w:id="311"/>
      <w:r w:rsidR="008C51A8" w:rsidRPr="00F53306">
        <w:t>Revised</w:t>
      </w:r>
      <w:r w:rsidR="00C048C0" w:rsidRPr="00F53306">
        <w:t xml:space="preserve"> WID on Even further enhanced MTC for LTE”</w:t>
      </w:r>
      <w:bookmarkEnd w:id="312"/>
      <w:bookmarkEnd w:id="313"/>
    </w:p>
    <w:bookmarkStart w:id="314" w:name="_Ref481601981"/>
    <w:bookmarkStart w:id="315" w:name="_Ref478060486"/>
    <w:p w14:paraId="4AC9FC99" w14:textId="2915F009" w:rsidR="0035792D" w:rsidRDefault="0035792D" w:rsidP="0035792D">
      <w:pPr>
        <w:pStyle w:val="Reference"/>
        <w:numPr>
          <w:ilvl w:val="0"/>
          <w:numId w:val="15"/>
        </w:numPr>
      </w:pPr>
      <w:r>
        <w:fldChar w:fldCharType="begin"/>
      </w:r>
      <w:r w:rsidRPr="00F53306">
        <w:instrText xml:space="preserve"> HYPERLINK "http://www.3gpp.org/ftp/tsg_ran/WG1_RL1/TSGR1_88b/Docs/R1-1706805.zip" </w:instrText>
      </w:r>
      <w:r>
        <w:fldChar w:fldCharType="separate"/>
      </w:r>
      <w:r w:rsidRPr="00A42BC0">
        <w:rPr>
          <w:rStyle w:val="Hyperlink"/>
        </w:rPr>
        <w:t>R1-1706805</w:t>
      </w:r>
      <w:r>
        <w:fldChar w:fldCharType="end"/>
      </w:r>
      <w:r w:rsidRPr="00F53306">
        <w:t>, “Way forward on Uplink HARQ-ACK fe</w:t>
      </w:r>
      <w:bookmarkStart w:id="316" w:name="_GoBack"/>
      <w:bookmarkEnd w:id="316"/>
      <w:r w:rsidRPr="00F53306">
        <w:t>edback”, Ericsson</w:t>
      </w:r>
      <w:bookmarkEnd w:id="314"/>
    </w:p>
    <w:bookmarkStart w:id="317" w:name="_Ref506454871"/>
    <w:bookmarkStart w:id="318" w:name="_Ref487113238"/>
    <w:bookmarkEnd w:id="315"/>
    <w:p w14:paraId="55555E0A" w14:textId="3A817E57" w:rsidR="00BF7188" w:rsidRDefault="00BF7188" w:rsidP="00BF7188">
      <w:pPr>
        <w:pStyle w:val="Reference"/>
        <w:numPr>
          <w:ilvl w:val="0"/>
          <w:numId w:val="15"/>
        </w:numPr>
      </w:pPr>
      <w:r>
        <w:fldChar w:fldCharType="begin"/>
      </w:r>
      <w:r>
        <w:instrText xml:space="preserve"> HYPERLINK "http://www.3gpp.org/ftp/tsg_ran/WG1_RL1/TSGR1_91/Docs/R1-1721254.zip" </w:instrText>
      </w:r>
      <w:r>
        <w:fldChar w:fldCharType="separate"/>
      </w:r>
      <w:r w:rsidRPr="00BF7188">
        <w:rPr>
          <w:rStyle w:val="Hyperlink"/>
          <w:lang w:val="en-US"/>
        </w:rPr>
        <w:t>R1-1721254</w:t>
      </w:r>
      <w:r>
        <w:fldChar w:fldCharType="end"/>
      </w:r>
      <w:r>
        <w:t>, “</w:t>
      </w:r>
      <w:r w:rsidRPr="00BF7188">
        <w:t>LS on HARQ-ACK feedback for eFeMTC</w:t>
      </w:r>
      <w:r>
        <w:t>”</w:t>
      </w:r>
      <w:bookmarkEnd w:id="317"/>
    </w:p>
    <w:bookmarkStart w:id="319" w:name="_Ref510098199"/>
    <w:p w14:paraId="26F45DB0" w14:textId="7678D2D5" w:rsidR="00DC7A19" w:rsidRPr="00BF7188" w:rsidRDefault="00A606AA" w:rsidP="00DC7A19">
      <w:pPr>
        <w:pStyle w:val="Reference"/>
        <w:numPr>
          <w:ilvl w:val="0"/>
          <w:numId w:val="15"/>
        </w:numPr>
      </w:pPr>
      <w:r>
        <w:fldChar w:fldCharType="begin"/>
      </w:r>
      <w:r>
        <w:instrText xml:space="preserve"> HYPERLINK "http://www.3gpp.org/ftp/tsg_ran/WG2_RL2/TSGR2_101/Docs/R2-1803886.zip" </w:instrText>
      </w:r>
      <w:r>
        <w:fldChar w:fldCharType="separate"/>
      </w:r>
      <w:r w:rsidR="00DC7A19" w:rsidRPr="00A606AA">
        <w:rPr>
          <w:rStyle w:val="Hyperlink"/>
          <w:lang w:val="en-US"/>
        </w:rPr>
        <w:t>R2-1803886</w:t>
      </w:r>
      <w:r>
        <w:fldChar w:fldCharType="end"/>
      </w:r>
      <w:r w:rsidR="00DC7A19">
        <w:t>, “</w:t>
      </w:r>
      <w:r w:rsidR="00DC7A19" w:rsidRPr="00DC7A19">
        <w:t>Reply LS on HARQ-ACK feedback for efeMTC</w:t>
      </w:r>
      <w:r w:rsidR="00DC7A19">
        <w:t>”</w:t>
      </w:r>
      <w:bookmarkEnd w:id="319"/>
    </w:p>
    <w:bookmarkStart w:id="320" w:name="_Ref506393525"/>
    <w:bookmarkEnd w:id="318"/>
    <w:p w14:paraId="2A52B1A9" w14:textId="4D578953" w:rsidR="00970D39" w:rsidRPr="00F53306" w:rsidRDefault="00970D39" w:rsidP="00F01FC4">
      <w:pPr>
        <w:pStyle w:val="Reference"/>
        <w:numPr>
          <w:ilvl w:val="0"/>
          <w:numId w:val="15"/>
        </w:numPr>
      </w:pPr>
      <w:r>
        <w:rPr>
          <w:lang w:val="sv-SE"/>
        </w:rPr>
        <w:fldChar w:fldCharType="begin"/>
      </w:r>
      <w:r w:rsidRPr="00970D39">
        <w:instrText xml:space="preserve"> HYPERLINK "http://www.3gpp.org/ftp/tsg_ran/WG1_RL1/TSGR1_91/Docs/R1-1720955.zip" </w:instrText>
      </w:r>
      <w:r w:rsidR="00D005B4">
        <w:rPr>
          <w:lang w:val="sv-SE"/>
        </w:rPr>
      </w:r>
      <w:r>
        <w:rPr>
          <w:lang w:val="sv-SE"/>
        </w:rPr>
        <w:fldChar w:fldCharType="separate"/>
      </w:r>
      <w:r>
        <w:rPr>
          <w:rStyle w:val="Hyperlink"/>
        </w:rPr>
        <w:t>R1-1720955</w:t>
      </w:r>
      <w:r>
        <w:rPr>
          <w:rStyle w:val="Hyperlink"/>
        </w:rPr>
        <w:fldChar w:fldCharType="end"/>
      </w:r>
      <w:r w:rsidR="00097FB1">
        <w:rPr>
          <w:lang w:val="en-GB"/>
        </w:rPr>
        <w:t>, “</w:t>
      </w:r>
      <w:r w:rsidRPr="00970D39">
        <w:t xml:space="preserve">IMT-2020 </w:t>
      </w:r>
      <w:r w:rsidR="00097FB1" w:rsidRPr="00970D39">
        <w:t>self-evaluation</w:t>
      </w:r>
      <w:r w:rsidRPr="00970D39">
        <w:t>: mMTC connection density for LTE-MTC and NB-IoT</w:t>
      </w:r>
      <w:r w:rsidR="00097FB1">
        <w:t xml:space="preserve">”, </w:t>
      </w:r>
      <w:r w:rsidRPr="00970D39">
        <w:t>Ericsson</w:t>
      </w:r>
      <w:bookmarkEnd w:id="320"/>
    </w:p>
    <w:bookmarkStart w:id="321" w:name="_Ref478059891"/>
    <w:p w14:paraId="7A63C045" w14:textId="6B4E7D54" w:rsidR="000256DB" w:rsidRPr="00F53306" w:rsidRDefault="000256DB" w:rsidP="000256DB">
      <w:pPr>
        <w:pStyle w:val="Reference"/>
        <w:numPr>
          <w:ilvl w:val="0"/>
          <w:numId w:val="15"/>
        </w:numPr>
      </w:pPr>
      <w:r>
        <w:fldChar w:fldCharType="begin"/>
      </w:r>
      <w:r w:rsidR="00E95444">
        <w:instrText>HYPERLINK "http://www.3gpp.org/ftp/Specs/archive/36_series/36.212/36212-e51.zip"</w:instrText>
      </w:r>
      <w:r>
        <w:fldChar w:fldCharType="separate"/>
      </w:r>
      <w:r w:rsidR="00E95444">
        <w:rPr>
          <w:rStyle w:val="Hyperlink"/>
        </w:rPr>
        <w:t>TS 36.212 V14.5.1</w:t>
      </w:r>
      <w:r>
        <w:fldChar w:fldCharType="end"/>
      </w:r>
      <w:r w:rsidRPr="00F53306">
        <w:t>, “Evolved Universal Terrestrial Radio Access (E-UTRA); Multiplexing and channel coding (Release 14)”, March 2017</w:t>
      </w:r>
      <w:bookmarkEnd w:id="321"/>
    </w:p>
    <w:bookmarkStart w:id="322" w:name="_Ref478058130"/>
    <w:bookmarkStart w:id="323" w:name="_Ref478059906"/>
    <w:p w14:paraId="4EA22F32" w14:textId="157AE484" w:rsidR="00756B9D" w:rsidRPr="00F53306" w:rsidRDefault="00C6588B" w:rsidP="00C6588B">
      <w:pPr>
        <w:pStyle w:val="Reference"/>
        <w:numPr>
          <w:ilvl w:val="0"/>
          <w:numId w:val="15"/>
        </w:numPr>
      </w:pPr>
      <w:r>
        <w:fldChar w:fldCharType="begin"/>
      </w:r>
      <w:r w:rsidR="0014665B">
        <w:instrText>HYPERLINK "http://www.3gpp.org/ftp/Specs/archive/36_series/36.213/36213-e60.zip"</w:instrText>
      </w:r>
      <w:r>
        <w:fldChar w:fldCharType="separate"/>
      </w:r>
      <w:r w:rsidR="0014665B">
        <w:rPr>
          <w:rStyle w:val="Hyperlink"/>
        </w:rPr>
        <w:t>TS 36.213 V14.6.0</w:t>
      </w:r>
      <w:r>
        <w:fldChar w:fldCharType="end"/>
      </w:r>
      <w:r w:rsidR="00756B9D" w:rsidRPr="00F53306">
        <w:t>, “</w:t>
      </w:r>
      <w:r w:rsidRPr="00F53306">
        <w:t>Evolved Universal Terrestrial Radio Access (E-UTRA); Physical layer procedures (Release 14)</w:t>
      </w:r>
      <w:r w:rsidR="00756B9D" w:rsidRPr="00F53306">
        <w:t>”</w:t>
      </w:r>
      <w:r w:rsidRPr="00F53306">
        <w:t>, March 2017</w:t>
      </w:r>
      <w:bookmarkEnd w:id="322"/>
      <w:bookmarkEnd w:id="323"/>
    </w:p>
    <w:bookmarkStart w:id="324" w:name="_Ref478058131"/>
    <w:p w14:paraId="131152E0" w14:textId="06BDE28C" w:rsidR="00B06513" w:rsidRPr="00F53306" w:rsidRDefault="00B03929" w:rsidP="000B0EB3">
      <w:pPr>
        <w:pStyle w:val="Reference"/>
        <w:numPr>
          <w:ilvl w:val="0"/>
          <w:numId w:val="15"/>
        </w:numPr>
      </w:pPr>
      <w:r>
        <w:fldChar w:fldCharType="begin"/>
      </w:r>
      <w:r w:rsidRPr="00F53306">
        <w:instrText xml:space="preserve"> HYPERLINK "http://www.3gpp.org/ftp/tsg_ran/WG1_RL1/TSGR1_88/Docs/R1-1703669.zip" </w:instrText>
      </w:r>
      <w:r>
        <w:fldChar w:fldCharType="separate"/>
      </w:r>
      <w:r w:rsidRPr="00B03929">
        <w:rPr>
          <w:rStyle w:val="Hyperlink"/>
        </w:rPr>
        <w:t>R1-1703969</w:t>
      </w:r>
      <w:r>
        <w:fldChar w:fldCharType="end"/>
      </w:r>
      <w:r w:rsidRPr="00F53306">
        <w:t>, “WF on Resource Allocation for FeMTC UEs with 5MHz PUSCH Channel Bandwidth”, Huawei, HiSilicon, Ericsson, Qualcomm, Softbank, Lenovo, Motorola Mobility, Sharp, RAN1#88, February 2017</w:t>
      </w:r>
      <w:bookmarkEnd w:id="324"/>
    </w:p>
    <w:sectPr w:rsidR="00B06513" w:rsidRPr="00F5330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9C7C1" w14:textId="77777777" w:rsidR="006E507D" w:rsidRDefault="006E507D">
      <w:r>
        <w:separator/>
      </w:r>
    </w:p>
  </w:endnote>
  <w:endnote w:type="continuationSeparator" w:id="0">
    <w:p w14:paraId="0A602807" w14:textId="77777777" w:rsidR="006E507D" w:rsidRDefault="006E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4531FA40" w:rsidR="00266540" w:rsidRDefault="002665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05B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05B4">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6EAE0" w14:textId="77777777" w:rsidR="006E507D" w:rsidRDefault="006E507D">
      <w:r>
        <w:separator/>
      </w:r>
    </w:p>
  </w:footnote>
  <w:footnote w:type="continuationSeparator" w:id="0">
    <w:p w14:paraId="3C3A98F7" w14:textId="77777777" w:rsidR="006E507D" w:rsidRDefault="006E5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266540" w:rsidRDefault="002665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5F016D9"/>
    <w:multiLevelType w:val="hybridMultilevel"/>
    <w:tmpl w:val="6212B2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9"/>
  </w:num>
  <w:num w:numId="18">
    <w:abstractNumId w:val="15"/>
  </w:num>
  <w:num w:numId="19">
    <w:abstractNumId w:val="7"/>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2B9"/>
    <w:rsid w:val="00006446"/>
    <w:rsid w:val="00006896"/>
    <w:rsid w:val="000078B9"/>
    <w:rsid w:val="00007CDC"/>
    <w:rsid w:val="00011B28"/>
    <w:rsid w:val="00015B80"/>
    <w:rsid w:val="00015D15"/>
    <w:rsid w:val="00016EE5"/>
    <w:rsid w:val="00023423"/>
    <w:rsid w:val="00024254"/>
    <w:rsid w:val="0002531D"/>
    <w:rsid w:val="000254EE"/>
    <w:rsid w:val="0002564D"/>
    <w:rsid w:val="000256DB"/>
    <w:rsid w:val="00025ECA"/>
    <w:rsid w:val="00027E3D"/>
    <w:rsid w:val="000325B8"/>
    <w:rsid w:val="00034C15"/>
    <w:rsid w:val="00036BA1"/>
    <w:rsid w:val="0003799E"/>
    <w:rsid w:val="00040875"/>
    <w:rsid w:val="000422E2"/>
    <w:rsid w:val="00042F22"/>
    <w:rsid w:val="000444EF"/>
    <w:rsid w:val="00046013"/>
    <w:rsid w:val="00047F46"/>
    <w:rsid w:val="00052A07"/>
    <w:rsid w:val="000534E3"/>
    <w:rsid w:val="0005606A"/>
    <w:rsid w:val="00057117"/>
    <w:rsid w:val="0005780A"/>
    <w:rsid w:val="00057840"/>
    <w:rsid w:val="00057BD2"/>
    <w:rsid w:val="000616E7"/>
    <w:rsid w:val="0006487E"/>
    <w:rsid w:val="00065A68"/>
    <w:rsid w:val="00065E1A"/>
    <w:rsid w:val="00077E5F"/>
    <w:rsid w:val="0008036A"/>
    <w:rsid w:val="00081AE6"/>
    <w:rsid w:val="000855EB"/>
    <w:rsid w:val="00085739"/>
    <w:rsid w:val="00085B52"/>
    <w:rsid w:val="000866F2"/>
    <w:rsid w:val="000873DA"/>
    <w:rsid w:val="0009009F"/>
    <w:rsid w:val="000911F4"/>
    <w:rsid w:val="00091557"/>
    <w:rsid w:val="000924C1"/>
    <w:rsid w:val="000924F0"/>
    <w:rsid w:val="00093474"/>
    <w:rsid w:val="0009510F"/>
    <w:rsid w:val="00097FB1"/>
    <w:rsid w:val="000A1B7B"/>
    <w:rsid w:val="000A2063"/>
    <w:rsid w:val="000A537A"/>
    <w:rsid w:val="000A56F2"/>
    <w:rsid w:val="000A7EA6"/>
    <w:rsid w:val="000B09BD"/>
    <w:rsid w:val="000B0EB3"/>
    <w:rsid w:val="000B2719"/>
    <w:rsid w:val="000B3A8F"/>
    <w:rsid w:val="000B4AB9"/>
    <w:rsid w:val="000B4FA7"/>
    <w:rsid w:val="000B58C3"/>
    <w:rsid w:val="000B61E9"/>
    <w:rsid w:val="000C0A21"/>
    <w:rsid w:val="000C165A"/>
    <w:rsid w:val="000C2E19"/>
    <w:rsid w:val="000C5FFE"/>
    <w:rsid w:val="000C7160"/>
    <w:rsid w:val="000C74E8"/>
    <w:rsid w:val="000D08D5"/>
    <w:rsid w:val="000D0D07"/>
    <w:rsid w:val="000D11D7"/>
    <w:rsid w:val="000D4797"/>
    <w:rsid w:val="000E0527"/>
    <w:rsid w:val="000E05A3"/>
    <w:rsid w:val="000E1E92"/>
    <w:rsid w:val="000E2D18"/>
    <w:rsid w:val="000E3446"/>
    <w:rsid w:val="000E3D7A"/>
    <w:rsid w:val="000E50BE"/>
    <w:rsid w:val="000E6AB2"/>
    <w:rsid w:val="000E7C49"/>
    <w:rsid w:val="000F06D6"/>
    <w:rsid w:val="000F0EB1"/>
    <w:rsid w:val="000F1106"/>
    <w:rsid w:val="000F3561"/>
    <w:rsid w:val="000F3BE9"/>
    <w:rsid w:val="000F3F6C"/>
    <w:rsid w:val="000F440F"/>
    <w:rsid w:val="000F4C4F"/>
    <w:rsid w:val="000F6DF3"/>
    <w:rsid w:val="000F737C"/>
    <w:rsid w:val="001005FF"/>
    <w:rsid w:val="001017FF"/>
    <w:rsid w:val="001062FB"/>
    <w:rsid w:val="001063E6"/>
    <w:rsid w:val="0011089D"/>
    <w:rsid w:val="00113820"/>
    <w:rsid w:val="00113CF4"/>
    <w:rsid w:val="001153EA"/>
    <w:rsid w:val="00115643"/>
    <w:rsid w:val="00116765"/>
    <w:rsid w:val="00120975"/>
    <w:rsid w:val="001219F5"/>
    <w:rsid w:val="00121A20"/>
    <w:rsid w:val="00121CE5"/>
    <w:rsid w:val="001230B0"/>
    <w:rsid w:val="0012377F"/>
    <w:rsid w:val="00124314"/>
    <w:rsid w:val="00126B4A"/>
    <w:rsid w:val="00132FD0"/>
    <w:rsid w:val="001344C0"/>
    <w:rsid w:val="001346FA"/>
    <w:rsid w:val="00135252"/>
    <w:rsid w:val="00137AB5"/>
    <w:rsid w:val="00137F0B"/>
    <w:rsid w:val="00142CEA"/>
    <w:rsid w:val="0014665B"/>
    <w:rsid w:val="00151E23"/>
    <w:rsid w:val="001521A7"/>
    <w:rsid w:val="001526E0"/>
    <w:rsid w:val="001551B5"/>
    <w:rsid w:val="00155C2F"/>
    <w:rsid w:val="00155D4F"/>
    <w:rsid w:val="001604BE"/>
    <w:rsid w:val="00161698"/>
    <w:rsid w:val="0016454B"/>
    <w:rsid w:val="00165179"/>
    <w:rsid w:val="001651F1"/>
    <w:rsid w:val="001659C1"/>
    <w:rsid w:val="001700C7"/>
    <w:rsid w:val="00173A8E"/>
    <w:rsid w:val="00177795"/>
    <w:rsid w:val="0018143F"/>
    <w:rsid w:val="001826E6"/>
    <w:rsid w:val="0019042B"/>
    <w:rsid w:val="00190AC1"/>
    <w:rsid w:val="0019341A"/>
    <w:rsid w:val="00197DF9"/>
    <w:rsid w:val="001A1987"/>
    <w:rsid w:val="001A2564"/>
    <w:rsid w:val="001A2BF5"/>
    <w:rsid w:val="001A6173"/>
    <w:rsid w:val="001A6CBA"/>
    <w:rsid w:val="001B0D97"/>
    <w:rsid w:val="001B410B"/>
    <w:rsid w:val="001B5A5D"/>
    <w:rsid w:val="001C1CE5"/>
    <w:rsid w:val="001C3D2A"/>
    <w:rsid w:val="001C6AAA"/>
    <w:rsid w:val="001D466D"/>
    <w:rsid w:val="001D51BA"/>
    <w:rsid w:val="001D6342"/>
    <w:rsid w:val="001D6CCA"/>
    <w:rsid w:val="001D6D53"/>
    <w:rsid w:val="001E58E2"/>
    <w:rsid w:val="001E6104"/>
    <w:rsid w:val="001E72D1"/>
    <w:rsid w:val="001E781E"/>
    <w:rsid w:val="001E7AED"/>
    <w:rsid w:val="001E7B24"/>
    <w:rsid w:val="001F155D"/>
    <w:rsid w:val="001F1FEC"/>
    <w:rsid w:val="001F3916"/>
    <w:rsid w:val="001F4915"/>
    <w:rsid w:val="001F54C5"/>
    <w:rsid w:val="001F662C"/>
    <w:rsid w:val="001F7074"/>
    <w:rsid w:val="00200490"/>
    <w:rsid w:val="00200B3D"/>
    <w:rsid w:val="00201F3A"/>
    <w:rsid w:val="00202441"/>
    <w:rsid w:val="00203F96"/>
    <w:rsid w:val="002069B2"/>
    <w:rsid w:val="00206CFD"/>
    <w:rsid w:val="00207FA3"/>
    <w:rsid w:val="0021284E"/>
    <w:rsid w:val="00214BFB"/>
    <w:rsid w:val="00214DA8"/>
    <w:rsid w:val="00215423"/>
    <w:rsid w:val="002158FA"/>
    <w:rsid w:val="00220600"/>
    <w:rsid w:val="00220CA6"/>
    <w:rsid w:val="002224DB"/>
    <w:rsid w:val="00223FCB"/>
    <w:rsid w:val="00225082"/>
    <w:rsid w:val="002252C3"/>
    <w:rsid w:val="00225C54"/>
    <w:rsid w:val="00230765"/>
    <w:rsid w:val="00231389"/>
    <w:rsid w:val="002319E4"/>
    <w:rsid w:val="00234432"/>
    <w:rsid w:val="00235632"/>
    <w:rsid w:val="00235872"/>
    <w:rsid w:val="00241559"/>
    <w:rsid w:val="002435B3"/>
    <w:rsid w:val="00243F07"/>
    <w:rsid w:val="00244A7B"/>
    <w:rsid w:val="002458EB"/>
    <w:rsid w:val="002500C8"/>
    <w:rsid w:val="002530BF"/>
    <w:rsid w:val="00255F78"/>
    <w:rsid w:val="00257543"/>
    <w:rsid w:val="00257594"/>
    <w:rsid w:val="0026148E"/>
    <w:rsid w:val="002617E7"/>
    <w:rsid w:val="00264228"/>
    <w:rsid w:val="00264334"/>
    <w:rsid w:val="0026473E"/>
    <w:rsid w:val="00264D50"/>
    <w:rsid w:val="00264FDA"/>
    <w:rsid w:val="00266214"/>
    <w:rsid w:val="00266540"/>
    <w:rsid w:val="00267C83"/>
    <w:rsid w:val="0027144F"/>
    <w:rsid w:val="00271F3A"/>
    <w:rsid w:val="00273278"/>
    <w:rsid w:val="002737F4"/>
    <w:rsid w:val="00275001"/>
    <w:rsid w:val="002775BF"/>
    <w:rsid w:val="002805F5"/>
    <w:rsid w:val="00280751"/>
    <w:rsid w:val="002807F3"/>
    <w:rsid w:val="0028280A"/>
    <w:rsid w:val="002832BA"/>
    <w:rsid w:val="002836BB"/>
    <w:rsid w:val="00286ACD"/>
    <w:rsid w:val="00287838"/>
    <w:rsid w:val="002907B5"/>
    <w:rsid w:val="00292EB7"/>
    <w:rsid w:val="00295073"/>
    <w:rsid w:val="00296227"/>
    <w:rsid w:val="00296F44"/>
    <w:rsid w:val="0029777D"/>
    <w:rsid w:val="002A055E"/>
    <w:rsid w:val="002A1D4E"/>
    <w:rsid w:val="002A1E0C"/>
    <w:rsid w:val="002A2869"/>
    <w:rsid w:val="002A5869"/>
    <w:rsid w:val="002A7B1F"/>
    <w:rsid w:val="002B24D6"/>
    <w:rsid w:val="002C41E6"/>
    <w:rsid w:val="002C4D55"/>
    <w:rsid w:val="002C58DE"/>
    <w:rsid w:val="002C5BA4"/>
    <w:rsid w:val="002D05BC"/>
    <w:rsid w:val="002D071A"/>
    <w:rsid w:val="002D34B2"/>
    <w:rsid w:val="002D4481"/>
    <w:rsid w:val="002D62D4"/>
    <w:rsid w:val="002D669A"/>
    <w:rsid w:val="002D6864"/>
    <w:rsid w:val="002D6DD1"/>
    <w:rsid w:val="002D7637"/>
    <w:rsid w:val="002E17F2"/>
    <w:rsid w:val="002E2502"/>
    <w:rsid w:val="002E44B8"/>
    <w:rsid w:val="002E7CAE"/>
    <w:rsid w:val="002F2771"/>
    <w:rsid w:val="002F2A64"/>
    <w:rsid w:val="002F37A9"/>
    <w:rsid w:val="002F7BFD"/>
    <w:rsid w:val="00300F72"/>
    <w:rsid w:val="00301CE6"/>
    <w:rsid w:val="0030256B"/>
    <w:rsid w:val="0030501F"/>
    <w:rsid w:val="00307BA1"/>
    <w:rsid w:val="00311702"/>
    <w:rsid w:val="00311E82"/>
    <w:rsid w:val="00313FD6"/>
    <w:rsid w:val="003143BD"/>
    <w:rsid w:val="00316500"/>
    <w:rsid w:val="003203ED"/>
    <w:rsid w:val="00322C9F"/>
    <w:rsid w:val="00322D6D"/>
    <w:rsid w:val="003231AE"/>
    <w:rsid w:val="00324D23"/>
    <w:rsid w:val="003300F3"/>
    <w:rsid w:val="00331751"/>
    <w:rsid w:val="00334579"/>
    <w:rsid w:val="00335858"/>
    <w:rsid w:val="00336BDA"/>
    <w:rsid w:val="00337B6F"/>
    <w:rsid w:val="00341E4E"/>
    <w:rsid w:val="00341FD7"/>
    <w:rsid w:val="00342BD7"/>
    <w:rsid w:val="00343A07"/>
    <w:rsid w:val="00346DB5"/>
    <w:rsid w:val="003477B1"/>
    <w:rsid w:val="0035470C"/>
    <w:rsid w:val="003554E8"/>
    <w:rsid w:val="00357380"/>
    <w:rsid w:val="0035792D"/>
    <w:rsid w:val="00357C48"/>
    <w:rsid w:val="003602D9"/>
    <w:rsid w:val="003604CE"/>
    <w:rsid w:val="00361B69"/>
    <w:rsid w:val="00361D3C"/>
    <w:rsid w:val="00366D34"/>
    <w:rsid w:val="00370E47"/>
    <w:rsid w:val="00371EE4"/>
    <w:rsid w:val="00373ED7"/>
    <w:rsid w:val="00374129"/>
    <w:rsid w:val="003742AC"/>
    <w:rsid w:val="00377CE1"/>
    <w:rsid w:val="00384FC5"/>
    <w:rsid w:val="00385BF0"/>
    <w:rsid w:val="003939FF"/>
    <w:rsid w:val="003A2223"/>
    <w:rsid w:val="003A2A0F"/>
    <w:rsid w:val="003A2D9F"/>
    <w:rsid w:val="003A45A1"/>
    <w:rsid w:val="003A5736"/>
    <w:rsid w:val="003A5B0A"/>
    <w:rsid w:val="003A6BAC"/>
    <w:rsid w:val="003A7EF3"/>
    <w:rsid w:val="003B159C"/>
    <w:rsid w:val="003B1C02"/>
    <w:rsid w:val="003B369F"/>
    <w:rsid w:val="003B36A3"/>
    <w:rsid w:val="003B38AC"/>
    <w:rsid w:val="003B7FE5"/>
    <w:rsid w:val="003C11C8"/>
    <w:rsid w:val="003C2702"/>
    <w:rsid w:val="003C2F42"/>
    <w:rsid w:val="003C5917"/>
    <w:rsid w:val="003C7806"/>
    <w:rsid w:val="003D109F"/>
    <w:rsid w:val="003D2478"/>
    <w:rsid w:val="003D3C45"/>
    <w:rsid w:val="003D5B1F"/>
    <w:rsid w:val="003E15FA"/>
    <w:rsid w:val="003E3840"/>
    <w:rsid w:val="003E3CAA"/>
    <w:rsid w:val="003E55E4"/>
    <w:rsid w:val="003E74E3"/>
    <w:rsid w:val="003F05C7"/>
    <w:rsid w:val="003F2CD4"/>
    <w:rsid w:val="003F6BBE"/>
    <w:rsid w:val="004000E8"/>
    <w:rsid w:val="0040013F"/>
    <w:rsid w:val="0040201E"/>
    <w:rsid w:val="00402E2B"/>
    <w:rsid w:val="0040512B"/>
    <w:rsid w:val="00405CA5"/>
    <w:rsid w:val="00407CD3"/>
    <w:rsid w:val="00410134"/>
    <w:rsid w:val="00410B72"/>
    <w:rsid w:val="00410F18"/>
    <w:rsid w:val="0041263E"/>
    <w:rsid w:val="00413AAC"/>
    <w:rsid w:val="00414328"/>
    <w:rsid w:val="00414B95"/>
    <w:rsid w:val="004158F3"/>
    <w:rsid w:val="00417510"/>
    <w:rsid w:val="00421105"/>
    <w:rsid w:val="004242F4"/>
    <w:rsid w:val="00424C72"/>
    <w:rsid w:val="00427248"/>
    <w:rsid w:val="00427A8F"/>
    <w:rsid w:val="004329A7"/>
    <w:rsid w:val="00437447"/>
    <w:rsid w:val="0044099E"/>
    <w:rsid w:val="00441A92"/>
    <w:rsid w:val="00444F56"/>
    <w:rsid w:val="00446488"/>
    <w:rsid w:val="004511BD"/>
    <w:rsid w:val="004517AA"/>
    <w:rsid w:val="00452CAC"/>
    <w:rsid w:val="00453907"/>
    <w:rsid w:val="00457565"/>
    <w:rsid w:val="00457B71"/>
    <w:rsid w:val="00457EBB"/>
    <w:rsid w:val="00464EEE"/>
    <w:rsid w:val="004669E2"/>
    <w:rsid w:val="00470696"/>
    <w:rsid w:val="00470C31"/>
    <w:rsid w:val="00471992"/>
    <w:rsid w:val="004734D0"/>
    <w:rsid w:val="0047556B"/>
    <w:rsid w:val="00477215"/>
    <w:rsid w:val="00477768"/>
    <w:rsid w:val="0048349F"/>
    <w:rsid w:val="00483826"/>
    <w:rsid w:val="00486972"/>
    <w:rsid w:val="00492BC5"/>
    <w:rsid w:val="004938A0"/>
    <w:rsid w:val="004964F1"/>
    <w:rsid w:val="004974BF"/>
    <w:rsid w:val="004A16BC"/>
    <w:rsid w:val="004A2B94"/>
    <w:rsid w:val="004A4D07"/>
    <w:rsid w:val="004A7E8E"/>
    <w:rsid w:val="004B0A30"/>
    <w:rsid w:val="004B7C0C"/>
    <w:rsid w:val="004C3898"/>
    <w:rsid w:val="004D2C12"/>
    <w:rsid w:val="004D36B1"/>
    <w:rsid w:val="004D42AA"/>
    <w:rsid w:val="004D6DA5"/>
    <w:rsid w:val="004D7EBD"/>
    <w:rsid w:val="004E2680"/>
    <w:rsid w:val="004E28F9"/>
    <w:rsid w:val="004E462E"/>
    <w:rsid w:val="004E56DC"/>
    <w:rsid w:val="004E5B2D"/>
    <w:rsid w:val="004E76F4"/>
    <w:rsid w:val="004E78C1"/>
    <w:rsid w:val="004F0B4E"/>
    <w:rsid w:val="004F0B6C"/>
    <w:rsid w:val="004F0BB6"/>
    <w:rsid w:val="004F2078"/>
    <w:rsid w:val="004F4DA3"/>
    <w:rsid w:val="005031AC"/>
    <w:rsid w:val="00505BAF"/>
    <w:rsid w:val="00506557"/>
    <w:rsid w:val="0050677A"/>
    <w:rsid w:val="005108D8"/>
    <w:rsid w:val="005116F9"/>
    <w:rsid w:val="005153A7"/>
    <w:rsid w:val="005219CF"/>
    <w:rsid w:val="00521B3B"/>
    <w:rsid w:val="0052358D"/>
    <w:rsid w:val="005268FB"/>
    <w:rsid w:val="005326D6"/>
    <w:rsid w:val="00534B59"/>
    <w:rsid w:val="00536759"/>
    <w:rsid w:val="00537C62"/>
    <w:rsid w:val="005465BE"/>
    <w:rsid w:val="00546970"/>
    <w:rsid w:val="00547F4D"/>
    <w:rsid w:val="00550419"/>
    <w:rsid w:val="00552927"/>
    <w:rsid w:val="00554E19"/>
    <w:rsid w:val="00554EFF"/>
    <w:rsid w:val="0056121F"/>
    <w:rsid w:val="00561C0B"/>
    <w:rsid w:val="005641CA"/>
    <w:rsid w:val="00570AFF"/>
    <w:rsid w:val="00570E9A"/>
    <w:rsid w:val="00572505"/>
    <w:rsid w:val="00574F61"/>
    <w:rsid w:val="005759D6"/>
    <w:rsid w:val="005772B4"/>
    <w:rsid w:val="00580C3F"/>
    <w:rsid w:val="00582809"/>
    <w:rsid w:val="0058798C"/>
    <w:rsid w:val="005900FA"/>
    <w:rsid w:val="005935A4"/>
    <w:rsid w:val="005948C2"/>
    <w:rsid w:val="00594983"/>
    <w:rsid w:val="00595DCA"/>
    <w:rsid w:val="0059779B"/>
    <w:rsid w:val="00597D99"/>
    <w:rsid w:val="005A01A2"/>
    <w:rsid w:val="005A209A"/>
    <w:rsid w:val="005A4157"/>
    <w:rsid w:val="005A4205"/>
    <w:rsid w:val="005A42ED"/>
    <w:rsid w:val="005A65B0"/>
    <w:rsid w:val="005A662D"/>
    <w:rsid w:val="005B0D7F"/>
    <w:rsid w:val="005B1948"/>
    <w:rsid w:val="005B35D7"/>
    <w:rsid w:val="005B3901"/>
    <w:rsid w:val="005B392A"/>
    <w:rsid w:val="005B3AA3"/>
    <w:rsid w:val="005B3F56"/>
    <w:rsid w:val="005B6F83"/>
    <w:rsid w:val="005C12C4"/>
    <w:rsid w:val="005C1577"/>
    <w:rsid w:val="005C2600"/>
    <w:rsid w:val="005C28C7"/>
    <w:rsid w:val="005C74FB"/>
    <w:rsid w:val="005D1602"/>
    <w:rsid w:val="005D2FE2"/>
    <w:rsid w:val="005D49C2"/>
    <w:rsid w:val="005E385F"/>
    <w:rsid w:val="005E5B81"/>
    <w:rsid w:val="005F2CB1"/>
    <w:rsid w:val="005F2CC3"/>
    <w:rsid w:val="005F3025"/>
    <w:rsid w:val="005F5236"/>
    <w:rsid w:val="005F618C"/>
    <w:rsid w:val="005F70BD"/>
    <w:rsid w:val="0060283C"/>
    <w:rsid w:val="00602F05"/>
    <w:rsid w:val="00604F14"/>
    <w:rsid w:val="006100AC"/>
    <w:rsid w:val="00611B83"/>
    <w:rsid w:val="00613257"/>
    <w:rsid w:val="006160F1"/>
    <w:rsid w:val="00620A71"/>
    <w:rsid w:val="00620D80"/>
    <w:rsid w:val="006212A9"/>
    <w:rsid w:val="006234A6"/>
    <w:rsid w:val="0062710C"/>
    <w:rsid w:val="00630001"/>
    <w:rsid w:val="006311B3"/>
    <w:rsid w:val="00631CBC"/>
    <w:rsid w:val="0063284C"/>
    <w:rsid w:val="00633047"/>
    <w:rsid w:val="00636398"/>
    <w:rsid w:val="006368D3"/>
    <w:rsid w:val="00636BEB"/>
    <w:rsid w:val="006377EC"/>
    <w:rsid w:val="0064151F"/>
    <w:rsid w:val="00641533"/>
    <w:rsid w:val="0064208D"/>
    <w:rsid w:val="00643475"/>
    <w:rsid w:val="00643654"/>
    <w:rsid w:val="0064396A"/>
    <w:rsid w:val="0064624E"/>
    <w:rsid w:val="0064702F"/>
    <w:rsid w:val="00647472"/>
    <w:rsid w:val="00650AB9"/>
    <w:rsid w:val="00654CB0"/>
    <w:rsid w:val="00655733"/>
    <w:rsid w:val="00655ACD"/>
    <w:rsid w:val="00656A92"/>
    <w:rsid w:val="00656DDE"/>
    <w:rsid w:val="006579EE"/>
    <w:rsid w:val="0066011D"/>
    <w:rsid w:val="006607C0"/>
    <w:rsid w:val="006613A6"/>
    <w:rsid w:val="006627A2"/>
    <w:rsid w:val="00662FD2"/>
    <w:rsid w:val="006634E6"/>
    <w:rsid w:val="006655EE"/>
    <w:rsid w:val="00667D16"/>
    <w:rsid w:val="00667E43"/>
    <w:rsid w:val="00667EE7"/>
    <w:rsid w:val="00670922"/>
    <w:rsid w:val="00670BE1"/>
    <w:rsid w:val="0067218F"/>
    <w:rsid w:val="006741F2"/>
    <w:rsid w:val="00674CC3"/>
    <w:rsid w:val="00675C72"/>
    <w:rsid w:val="00676073"/>
    <w:rsid w:val="006771F9"/>
    <w:rsid w:val="006776D7"/>
    <w:rsid w:val="006800A5"/>
    <w:rsid w:val="00681003"/>
    <w:rsid w:val="006817C9"/>
    <w:rsid w:val="00682E3F"/>
    <w:rsid w:val="00683EB0"/>
    <w:rsid w:val="00683ECE"/>
    <w:rsid w:val="006843AF"/>
    <w:rsid w:val="00686045"/>
    <w:rsid w:val="00686B7C"/>
    <w:rsid w:val="00695FC2"/>
    <w:rsid w:val="00696627"/>
    <w:rsid w:val="00696949"/>
    <w:rsid w:val="00696FAF"/>
    <w:rsid w:val="00697052"/>
    <w:rsid w:val="006A46FB"/>
    <w:rsid w:val="006A5E28"/>
    <w:rsid w:val="006A6722"/>
    <w:rsid w:val="006A6865"/>
    <w:rsid w:val="006A697B"/>
    <w:rsid w:val="006A6D13"/>
    <w:rsid w:val="006A70E3"/>
    <w:rsid w:val="006A7AFF"/>
    <w:rsid w:val="006B114E"/>
    <w:rsid w:val="006B132E"/>
    <w:rsid w:val="006B1816"/>
    <w:rsid w:val="006B2099"/>
    <w:rsid w:val="006B2B43"/>
    <w:rsid w:val="006B50CF"/>
    <w:rsid w:val="006B5B0F"/>
    <w:rsid w:val="006B5EA3"/>
    <w:rsid w:val="006C03B8"/>
    <w:rsid w:val="006C3765"/>
    <w:rsid w:val="006C4FF8"/>
    <w:rsid w:val="006C5EC9"/>
    <w:rsid w:val="006C6059"/>
    <w:rsid w:val="006C716E"/>
    <w:rsid w:val="006C7522"/>
    <w:rsid w:val="006D3C41"/>
    <w:rsid w:val="006D6C2E"/>
    <w:rsid w:val="006D6F08"/>
    <w:rsid w:val="006E062C"/>
    <w:rsid w:val="006E28B7"/>
    <w:rsid w:val="006E3310"/>
    <w:rsid w:val="006E4E39"/>
    <w:rsid w:val="006E507D"/>
    <w:rsid w:val="006E565E"/>
    <w:rsid w:val="006E673D"/>
    <w:rsid w:val="006E7D3B"/>
    <w:rsid w:val="006F1B70"/>
    <w:rsid w:val="006F341D"/>
    <w:rsid w:val="006F3CDE"/>
    <w:rsid w:val="006F58D4"/>
    <w:rsid w:val="0070346E"/>
    <w:rsid w:val="00703DB4"/>
    <w:rsid w:val="00704EDB"/>
    <w:rsid w:val="00706101"/>
    <w:rsid w:val="00707072"/>
    <w:rsid w:val="00707D61"/>
    <w:rsid w:val="00711314"/>
    <w:rsid w:val="0071217C"/>
    <w:rsid w:val="00712287"/>
    <w:rsid w:val="00712772"/>
    <w:rsid w:val="00712C14"/>
    <w:rsid w:val="0071314A"/>
    <w:rsid w:val="007132A2"/>
    <w:rsid w:val="0071358F"/>
    <w:rsid w:val="007148D3"/>
    <w:rsid w:val="00715B9A"/>
    <w:rsid w:val="00716770"/>
    <w:rsid w:val="00717744"/>
    <w:rsid w:val="00724D3B"/>
    <w:rsid w:val="00726EA6"/>
    <w:rsid w:val="00727208"/>
    <w:rsid w:val="00727680"/>
    <w:rsid w:val="00732461"/>
    <w:rsid w:val="00732B93"/>
    <w:rsid w:val="00732CB8"/>
    <w:rsid w:val="00733E16"/>
    <w:rsid w:val="007348B1"/>
    <w:rsid w:val="007362A6"/>
    <w:rsid w:val="00736D7D"/>
    <w:rsid w:val="00740E58"/>
    <w:rsid w:val="007445A0"/>
    <w:rsid w:val="0074524B"/>
    <w:rsid w:val="00747D8B"/>
    <w:rsid w:val="00751228"/>
    <w:rsid w:val="00753EBE"/>
    <w:rsid w:val="00756B9D"/>
    <w:rsid w:val="007571E1"/>
    <w:rsid w:val="0075766E"/>
    <w:rsid w:val="00757A69"/>
    <w:rsid w:val="007604B2"/>
    <w:rsid w:val="00761E07"/>
    <w:rsid w:val="0076507D"/>
    <w:rsid w:val="00765281"/>
    <w:rsid w:val="007662B6"/>
    <w:rsid w:val="00766BAD"/>
    <w:rsid w:val="007720A7"/>
    <w:rsid w:val="007730BD"/>
    <w:rsid w:val="00773603"/>
    <w:rsid w:val="007755F2"/>
    <w:rsid w:val="00776971"/>
    <w:rsid w:val="007776BE"/>
    <w:rsid w:val="0078177E"/>
    <w:rsid w:val="0078304C"/>
    <w:rsid w:val="00783673"/>
    <w:rsid w:val="00785490"/>
    <w:rsid w:val="007925EA"/>
    <w:rsid w:val="00793394"/>
    <w:rsid w:val="00793CD8"/>
    <w:rsid w:val="007943FD"/>
    <w:rsid w:val="007956EE"/>
    <w:rsid w:val="00795C92"/>
    <w:rsid w:val="00796231"/>
    <w:rsid w:val="007A1CB3"/>
    <w:rsid w:val="007A306F"/>
    <w:rsid w:val="007A43A6"/>
    <w:rsid w:val="007A46CB"/>
    <w:rsid w:val="007A58A6"/>
    <w:rsid w:val="007A69E6"/>
    <w:rsid w:val="007B009C"/>
    <w:rsid w:val="007B3D2D"/>
    <w:rsid w:val="007B50AE"/>
    <w:rsid w:val="007B51DF"/>
    <w:rsid w:val="007B5613"/>
    <w:rsid w:val="007B5C72"/>
    <w:rsid w:val="007B5D72"/>
    <w:rsid w:val="007C05DD"/>
    <w:rsid w:val="007C187D"/>
    <w:rsid w:val="007C2B96"/>
    <w:rsid w:val="007C2BA9"/>
    <w:rsid w:val="007C39FA"/>
    <w:rsid w:val="007C3D18"/>
    <w:rsid w:val="007C5B0E"/>
    <w:rsid w:val="007C60BF"/>
    <w:rsid w:val="007C6A07"/>
    <w:rsid w:val="007C75A1"/>
    <w:rsid w:val="007C77A5"/>
    <w:rsid w:val="007D0411"/>
    <w:rsid w:val="007D04E5"/>
    <w:rsid w:val="007D5901"/>
    <w:rsid w:val="007D6562"/>
    <w:rsid w:val="007D7526"/>
    <w:rsid w:val="007E11B3"/>
    <w:rsid w:val="007E4610"/>
    <w:rsid w:val="007E4715"/>
    <w:rsid w:val="007E505B"/>
    <w:rsid w:val="007E7091"/>
    <w:rsid w:val="007F3EA2"/>
    <w:rsid w:val="007F66B1"/>
    <w:rsid w:val="00803FAE"/>
    <w:rsid w:val="00804D5C"/>
    <w:rsid w:val="0080605F"/>
    <w:rsid w:val="00807786"/>
    <w:rsid w:val="00807FA2"/>
    <w:rsid w:val="00811FCB"/>
    <w:rsid w:val="0081369C"/>
    <w:rsid w:val="00814E96"/>
    <w:rsid w:val="008158D6"/>
    <w:rsid w:val="00816DDB"/>
    <w:rsid w:val="00817196"/>
    <w:rsid w:val="008209E0"/>
    <w:rsid w:val="00822D5D"/>
    <w:rsid w:val="008235DB"/>
    <w:rsid w:val="00824AB4"/>
    <w:rsid w:val="00824F45"/>
    <w:rsid w:val="00825C42"/>
    <w:rsid w:val="00825D25"/>
    <w:rsid w:val="00827AAF"/>
    <w:rsid w:val="00827D6F"/>
    <w:rsid w:val="0083148F"/>
    <w:rsid w:val="00833682"/>
    <w:rsid w:val="00836E5E"/>
    <w:rsid w:val="008376AC"/>
    <w:rsid w:val="00840324"/>
    <w:rsid w:val="008444E8"/>
    <w:rsid w:val="00844E80"/>
    <w:rsid w:val="00846FE7"/>
    <w:rsid w:val="00851B99"/>
    <w:rsid w:val="00856911"/>
    <w:rsid w:val="00856ECD"/>
    <w:rsid w:val="00860331"/>
    <w:rsid w:val="00864827"/>
    <w:rsid w:val="008677FD"/>
    <w:rsid w:val="008706D4"/>
    <w:rsid w:val="00870F8A"/>
    <w:rsid w:val="00871783"/>
    <w:rsid w:val="008719A4"/>
    <w:rsid w:val="00871D23"/>
    <w:rsid w:val="00873C00"/>
    <w:rsid w:val="00874312"/>
    <w:rsid w:val="0087437C"/>
    <w:rsid w:val="00875CD7"/>
    <w:rsid w:val="00876B4D"/>
    <w:rsid w:val="00877F18"/>
    <w:rsid w:val="00887BE6"/>
    <w:rsid w:val="00890D2A"/>
    <w:rsid w:val="0089277C"/>
    <w:rsid w:val="00894A88"/>
    <w:rsid w:val="00894E9A"/>
    <w:rsid w:val="00895386"/>
    <w:rsid w:val="00897C8B"/>
    <w:rsid w:val="00897CB2"/>
    <w:rsid w:val="008A21FF"/>
    <w:rsid w:val="008A2CE2"/>
    <w:rsid w:val="008A30AC"/>
    <w:rsid w:val="008A43EE"/>
    <w:rsid w:val="008A44B8"/>
    <w:rsid w:val="008A51A8"/>
    <w:rsid w:val="008A54C7"/>
    <w:rsid w:val="008A56E1"/>
    <w:rsid w:val="008A77D8"/>
    <w:rsid w:val="008B0483"/>
    <w:rsid w:val="008B120C"/>
    <w:rsid w:val="008B128B"/>
    <w:rsid w:val="008B1948"/>
    <w:rsid w:val="008B2750"/>
    <w:rsid w:val="008B51A0"/>
    <w:rsid w:val="008B592A"/>
    <w:rsid w:val="008B7B5C"/>
    <w:rsid w:val="008C0C99"/>
    <w:rsid w:val="008C2017"/>
    <w:rsid w:val="008C4958"/>
    <w:rsid w:val="008C4BAA"/>
    <w:rsid w:val="008C51A8"/>
    <w:rsid w:val="008C605F"/>
    <w:rsid w:val="008C6AE8"/>
    <w:rsid w:val="008C7573"/>
    <w:rsid w:val="008D34F1"/>
    <w:rsid w:val="008D39D8"/>
    <w:rsid w:val="008D4914"/>
    <w:rsid w:val="008D6D1A"/>
    <w:rsid w:val="008E065E"/>
    <w:rsid w:val="008E0927"/>
    <w:rsid w:val="008E1909"/>
    <w:rsid w:val="008E25FE"/>
    <w:rsid w:val="008F1EAB"/>
    <w:rsid w:val="008F33DC"/>
    <w:rsid w:val="008F41F5"/>
    <w:rsid w:val="008F477F"/>
    <w:rsid w:val="008F6BCA"/>
    <w:rsid w:val="00902350"/>
    <w:rsid w:val="0090336B"/>
    <w:rsid w:val="009053AA"/>
    <w:rsid w:val="00906939"/>
    <w:rsid w:val="00910B7D"/>
    <w:rsid w:val="00911516"/>
    <w:rsid w:val="00911DFB"/>
    <w:rsid w:val="009139D9"/>
    <w:rsid w:val="00914AD8"/>
    <w:rsid w:val="00915935"/>
    <w:rsid w:val="00915969"/>
    <w:rsid w:val="00916079"/>
    <w:rsid w:val="009163A9"/>
    <w:rsid w:val="00917CE9"/>
    <w:rsid w:val="00920BF2"/>
    <w:rsid w:val="009210B6"/>
    <w:rsid w:val="00922010"/>
    <w:rsid w:val="00927DAA"/>
    <w:rsid w:val="00930700"/>
    <w:rsid w:val="00931BD9"/>
    <w:rsid w:val="00932727"/>
    <w:rsid w:val="00934127"/>
    <w:rsid w:val="009368F3"/>
    <w:rsid w:val="009400AD"/>
    <w:rsid w:val="00941636"/>
    <w:rsid w:val="00943742"/>
    <w:rsid w:val="00945C05"/>
    <w:rsid w:val="00946945"/>
    <w:rsid w:val="00947713"/>
    <w:rsid w:val="00950DE7"/>
    <w:rsid w:val="00953920"/>
    <w:rsid w:val="00953D47"/>
    <w:rsid w:val="0095681E"/>
    <w:rsid w:val="009572D4"/>
    <w:rsid w:val="00957A12"/>
    <w:rsid w:val="00961921"/>
    <w:rsid w:val="009629C8"/>
    <w:rsid w:val="0096430A"/>
    <w:rsid w:val="0096554B"/>
    <w:rsid w:val="0096584A"/>
    <w:rsid w:val="00970D39"/>
    <w:rsid w:val="00970F61"/>
    <w:rsid w:val="00971F08"/>
    <w:rsid w:val="00974257"/>
    <w:rsid w:val="00975E22"/>
    <w:rsid w:val="0097603D"/>
    <w:rsid w:val="00976949"/>
    <w:rsid w:val="00980477"/>
    <w:rsid w:val="00985253"/>
    <w:rsid w:val="009853B3"/>
    <w:rsid w:val="00990630"/>
    <w:rsid w:val="00991761"/>
    <w:rsid w:val="00994DCA"/>
    <w:rsid w:val="00995F28"/>
    <w:rsid w:val="009960EC"/>
    <w:rsid w:val="009970DD"/>
    <w:rsid w:val="009A0FBA"/>
    <w:rsid w:val="009A1601"/>
    <w:rsid w:val="009A2D5F"/>
    <w:rsid w:val="009A462D"/>
    <w:rsid w:val="009A5CBA"/>
    <w:rsid w:val="009A7C17"/>
    <w:rsid w:val="009B1F30"/>
    <w:rsid w:val="009B3AC2"/>
    <w:rsid w:val="009B3B8F"/>
    <w:rsid w:val="009B4696"/>
    <w:rsid w:val="009B4DF4"/>
    <w:rsid w:val="009B503D"/>
    <w:rsid w:val="009B564E"/>
    <w:rsid w:val="009B64E5"/>
    <w:rsid w:val="009B7E87"/>
    <w:rsid w:val="009C403E"/>
    <w:rsid w:val="009C51D6"/>
    <w:rsid w:val="009D0012"/>
    <w:rsid w:val="009D056D"/>
    <w:rsid w:val="009D4FF0"/>
    <w:rsid w:val="009D6594"/>
    <w:rsid w:val="009D6D7B"/>
    <w:rsid w:val="009D703C"/>
    <w:rsid w:val="009D718F"/>
    <w:rsid w:val="009E068F"/>
    <w:rsid w:val="009E14E0"/>
    <w:rsid w:val="009E35DB"/>
    <w:rsid w:val="009E47A3"/>
    <w:rsid w:val="009E7090"/>
    <w:rsid w:val="009E7141"/>
    <w:rsid w:val="009F08F3"/>
    <w:rsid w:val="009F1601"/>
    <w:rsid w:val="009F2E13"/>
    <w:rsid w:val="009F344F"/>
    <w:rsid w:val="009F7C75"/>
    <w:rsid w:val="00A048A8"/>
    <w:rsid w:val="00A04F49"/>
    <w:rsid w:val="00A07962"/>
    <w:rsid w:val="00A07D4C"/>
    <w:rsid w:val="00A13E54"/>
    <w:rsid w:val="00A14A3B"/>
    <w:rsid w:val="00A15AF4"/>
    <w:rsid w:val="00A17F63"/>
    <w:rsid w:val="00A2193B"/>
    <w:rsid w:val="00A21DDE"/>
    <w:rsid w:val="00A22C61"/>
    <w:rsid w:val="00A2351A"/>
    <w:rsid w:val="00A264A9"/>
    <w:rsid w:val="00A27785"/>
    <w:rsid w:val="00A30187"/>
    <w:rsid w:val="00A31843"/>
    <w:rsid w:val="00A3448A"/>
    <w:rsid w:val="00A34BC6"/>
    <w:rsid w:val="00A36297"/>
    <w:rsid w:val="00A371A6"/>
    <w:rsid w:val="00A4125D"/>
    <w:rsid w:val="00A41E2B"/>
    <w:rsid w:val="00A42BC0"/>
    <w:rsid w:val="00A453F0"/>
    <w:rsid w:val="00A45B74"/>
    <w:rsid w:val="00A47C25"/>
    <w:rsid w:val="00A52E1D"/>
    <w:rsid w:val="00A54D03"/>
    <w:rsid w:val="00A552F1"/>
    <w:rsid w:val="00A606AA"/>
    <w:rsid w:val="00A61499"/>
    <w:rsid w:val="00A62A77"/>
    <w:rsid w:val="00A630AB"/>
    <w:rsid w:val="00A63483"/>
    <w:rsid w:val="00A657D7"/>
    <w:rsid w:val="00A660AC"/>
    <w:rsid w:val="00A67E6C"/>
    <w:rsid w:val="00A70AB1"/>
    <w:rsid w:val="00A71B99"/>
    <w:rsid w:val="00A739D0"/>
    <w:rsid w:val="00A761D4"/>
    <w:rsid w:val="00A76275"/>
    <w:rsid w:val="00A77EC4"/>
    <w:rsid w:val="00A80666"/>
    <w:rsid w:val="00A92879"/>
    <w:rsid w:val="00A936CD"/>
    <w:rsid w:val="00A9442A"/>
    <w:rsid w:val="00A96335"/>
    <w:rsid w:val="00AA016F"/>
    <w:rsid w:val="00AA0636"/>
    <w:rsid w:val="00AA1ED6"/>
    <w:rsid w:val="00AA51D6"/>
    <w:rsid w:val="00AB0BC8"/>
    <w:rsid w:val="00AB1029"/>
    <w:rsid w:val="00AB10F7"/>
    <w:rsid w:val="00AB11CA"/>
    <w:rsid w:val="00AB14D9"/>
    <w:rsid w:val="00AB2440"/>
    <w:rsid w:val="00AB4AB8"/>
    <w:rsid w:val="00AB655E"/>
    <w:rsid w:val="00AC007F"/>
    <w:rsid w:val="00AC05CC"/>
    <w:rsid w:val="00AC2ECD"/>
    <w:rsid w:val="00AC3119"/>
    <w:rsid w:val="00AC49FB"/>
    <w:rsid w:val="00AC5343"/>
    <w:rsid w:val="00AC5A10"/>
    <w:rsid w:val="00AD015B"/>
    <w:rsid w:val="00AD02D2"/>
    <w:rsid w:val="00AD0AA3"/>
    <w:rsid w:val="00AD3F94"/>
    <w:rsid w:val="00AD4A5A"/>
    <w:rsid w:val="00AE27AC"/>
    <w:rsid w:val="00AE2834"/>
    <w:rsid w:val="00AE40E0"/>
    <w:rsid w:val="00AE4698"/>
    <w:rsid w:val="00AE4DBA"/>
    <w:rsid w:val="00AE4F07"/>
    <w:rsid w:val="00AE6095"/>
    <w:rsid w:val="00AF0E11"/>
    <w:rsid w:val="00AF124A"/>
    <w:rsid w:val="00AF1C5D"/>
    <w:rsid w:val="00AF2BB7"/>
    <w:rsid w:val="00AF42D7"/>
    <w:rsid w:val="00AF59DF"/>
    <w:rsid w:val="00AF5A67"/>
    <w:rsid w:val="00AF6530"/>
    <w:rsid w:val="00B006FE"/>
    <w:rsid w:val="00B007CB"/>
    <w:rsid w:val="00B02AA9"/>
    <w:rsid w:val="00B02FA3"/>
    <w:rsid w:val="00B03929"/>
    <w:rsid w:val="00B05084"/>
    <w:rsid w:val="00B056D5"/>
    <w:rsid w:val="00B06513"/>
    <w:rsid w:val="00B132F7"/>
    <w:rsid w:val="00B154A1"/>
    <w:rsid w:val="00B157F9"/>
    <w:rsid w:val="00B20256"/>
    <w:rsid w:val="00B20D09"/>
    <w:rsid w:val="00B25E49"/>
    <w:rsid w:val="00B26822"/>
    <w:rsid w:val="00B26A70"/>
    <w:rsid w:val="00B271E1"/>
    <w:rsid w:val="00B2763F"/>
    <w:rsid w:val="00B27AAC"/>
    <w:rsid w:val="00B304F3"/>
    <w:rsid w:val="00B30929"/>
    <w:rsid w:val="00B361B3"/>
    <w:rsid w:val="00B372AA"/>
    <w:rsid w:val="00B375CE"/>
    <w:rsid w:val="00B37A94"/>
    <w:rsid w:val="00B40445"/>
    <w:rsid w:val="00B40BEF"/>
    <w:rsid w:val="00B40F29"/>
    <w:rsid w:val="00B41888"/>
    <w:rsid w:val="00B45A52"/>
    <w:rsid w:val="00B46175"/>
    <w:rsid w:val="00B46DDD"/>
    <w:rsid w:val="00B53EA4"/>
    <w:rsid w:val="00B60856"/>
    <w:rsid w:val="00B6188F"/>
    <w:rsid w:val="00B6439B"/>
    <w:rsid w:val="00B65AEE"/>
    <w:rsid w:val="00B664C7"/>
    <w:rsid w:val="00B70293"/>
    <w:rsid w:val="00B71EB1"/>
    <w:rsid w:val="00B739F6"/>
    <w:rsid w:val="00B802BF"/>
    <w:rsid w:val="00B81A6C"/>
    <w:rsid w:val="00B822FA"/>
    <w:rsid w:val="00B82A9C"/>
    <w:rsid w:val="00B85DE5"/>
    <w:rsid w:val="00B868CA"/>
    <w:rsid w:val="00B87488"/>
    <w:rsid w:val="00B90F73"/>
    <w:rsid w:val="00B91566"/>
    <w:rsid w:val="00B93B59"/>
    <w:rsid w:val="00B9406A"/>
    <w:rsid w:val="00B95428"/>
    <w:rsid w:val="00B97752"/>
    <w:rsid w:val="00BA1B2C"/>
    <w:rsid w:val="00BA2280"/>
    <w:rsid w:val="00BA2A08"/>
    <w:rsid w:val="00BA341D"/>
    <w:rsid w:val="00BA4D6A"/>
    <w:rsid w:val="00BA56D2"/>
    <w:rsid w:val="00BA76E0"/>
    <w:rsid w:val="00BB1279"/>
    <w:rsid w:val="00BB198D"/>
    <w:rsid w:val="00BB1EC7"/>
    <w:rsid w:val="00BB2A25"/>
    <w:rsid w:val="00BB3854"/>
    <w:rsid w:val="00BB391F"/>
    <w:rsid w:val="00BB51E9"/>
    <w:rsid w:val="00BC0FDC"/>
    <w:rsid w:val="00BC3053"/>
    <w:rsid w:val="00BC4331"/>
    <w:rsid w:val="00BC4D2E"/>
    <w:rsid w:val="00BC635D"/>
    <w:rsid w:val="00BD48AC"/>
    <w:rsid w:val="00BD4BD5"/>
    <w:rsid w:val="00BD5C9C"/>
    <w:rsid w:val="00BD5F1A"/>
    <w:rsid w:val="00BE1234"/>
    <w:rsid w:val="00BE1A8F"/>
    <w:rsid w:val="00BE2FA6"/>
    <w:rsid w:val="00BE333F"/>
    <w:rsid w:val="00BE4096"/>
    <w:rsid w:val="00BE53C9"/>
    <w:rsid w:val="00BE7406"/>
    <w:rsid w:val="00BE7603"/>
    <w:rsid w:val="00BF3279"/>
    <w:rsid w:val="00BF32AD"/>
    <w:rsid w:val="00BF5C2F"/>
    <w:rsid w:val="00BF70A9"/>
    <w:rsid w:val="00BF7188"/>
    <w:rsid w:val="00BF74C7"/>
    <w:rsid w:val="00C015F1"/>
    <w:rsid w:val="00C01B0C"/>
    <w:rsid w:val="00C01F33"/>
    <w:rsid w:val="00C02CC6"/>
    <w:rsid w:val="00C040F7"/>
    <w:rsid w:val="00C041B0"/>
    <w:rsid w:val="00C044AB"/>
    <w:rsid w:val="00C048C0"/>
    <w:rsid w:val="00C05706"/>
    <w:rsid w:val="00C07377"/>
    <w:rsid w:val="00C0766C"/>
    <w:rsid w:val="00C0794F"/>
    <w:rsid w:val="00C10478"/>
    <w:rsid w:val="00C1091C"/>
    <w:rsid w:val="00C10EC7"/>
    <w:rsid w:val="00C12107"/>
    <w:rsid w:val="00C14D4B"/>
    <w:rsid w:val="00C154BB"/>
    <w:rsid w:val="00C1623A"/>
    <w:rsid w:val="00C16C2F"/>
    <w:rsid w:val="00C279B5"/>
    <w:rsid w:val="00C27C45"/>
    <w:rsid w:val="00C3719D"/>
    <w:rsid w:val="00C44C2C"/>
    <w:rsid w:val="00C46ECE"/>
    <w:rsid w:val="00C506B6"/>
    <w:rsid w:val="00C5366B"/>
    <w:rsid w:val="00C54995"/>
    <w:rsid w:val="00C54D41"/>
    <w:rsid w:val="00C60783"/>
    <w:rsid w:val="00C64672"/>
    <w:rsid w:val="00C6588B"/>
    <w:rsid w:val="00C67512"/>
    <w:rsid w:val="00C70697"/>
    <w:rsid w:val="00C72EF4"/>
    <w:rsid w:val="00C75D2F"/>
    <w:rsid w:val="00C767BE"/>
    <w:rsid w:val="00C76E3C"/>
    <w:rsid w:val="00C81568"/>
    <w:rsid w:val="00C84A1F"/>
    <w:rsid w:val="00C853D6"/>
    <w:rsid w:val="00C9027A"/>
    <w:rsid w:val="00C9050E"/>
    <w:rsid w:val="00C9068E"/>
    <w:rsid w:val="00C90C24"/>
    <w:rsid w:val="00C93C4B"/>
    <w:rsid w:val="00C944AB"/>
    <w:rsid w:val="00C95B40"/>
    <w:rsid w:val="00CA0D9B"/>
    <w:rsid w:val="00CA1ED8"/>
    <w:rsid w:val="00CA7D07"/>
    <w:rsid w:val="00CB1F63"/>
    <w:rsid w:val="00CB41AB"/>
    <w:rsid w:val="00CB4FF4"/>
    <w:rsid w:val="00CB7170"/>
    <w:rsid w:val="00CC040E"/>
    <w:rsid w:val="00CC111F"/>
    <w:rsid w:val="00CC13A7"/>
    <w:rsid w:val="00CC2011"/>
    <w:rsid w:val="00CC2D22"/>
    <w:rsid w:val="00CC3B0D"/>
    <w:rsid w:val="00CC3EA0"/>
    <w:rsid w:val="00CC7B45"/>
    <w:rsid w:val="00CD1188"/>
    <w:rsid w:val="00CD2ED1"/>
    <w:rsid w:val="00CD337B"/>
    <w:rsid w:val="00CD7E2F"/>
    <w:rsid w:val="00CE0424"/>
    <w:rsid w:val="00CE2B34"/>
    <w:rsid w:val="00CE7561"/>
    <w:rsid w:val="00CF0DC4"/>
    <w:rsid w:val="00CF1206"/>
    <w:rsid w:val="00CF1354"/>
    <w:rsid w:val="00CF3B1F"/>
    <w:rsid w:val="00CF3BF6"/>
    <w:rsid w:val="00CF5170"/>
    <w:rsid w:val="00CF625B"/>
    <w:rsid w:val="00CF6685"/>
    <w:rsid w:val="00CF687E"/>
    <w:rsid w:val="00CF715A"/>
    <w:rsid w:val="00D005B4"/>
    <w:rsid w:val="00D0349B"/>
    <w:rsid w:val="00D0420D"/>
    <w:rsid w:val="00D07723"/>
    <w:rsid w:val="00D10249"/>
    <w:rsid w:val="00D115C3"/>
    <w:rsid w:val="00D11897"/>
    <w:rsid w:val="00D13135"/>
    <w:rsid w:val="00D13E4E"/>
    <w:rsid w:val="00D17162"/>
    <w:rsid w:val="00D2337B"/>
    <w:rsid w:val="00D239A7"/>
    <w:rsid w:val="00D23F47"/>
    <w:rsid w:val="00D25AB0"/>
    <w:rsid w:val="00D33B43"/>
    <w:rsid w:val="00D36AD9"/>
    <w:rsid w:val="00D36E71"/>
    <w:rsid w:val="00D37D87"/>
    <w:rsid w:val="00D40B33"/>
    <w:rsid w:val="00D40FA3"/>
    <w:rsid w:val="00D410DD"/>
    <w:rsid w:val="00D425D8"/>
    <w:rsid w:val="00D4318F"/>
    <w:rsid w:val="00D434B9"/>
    <w:rsid w:val="00D438BF"/>
    <w:rsid w:val="00D440F8"/>
    <w:rsid w:val="00D4506F"/>
    <w:rsid w:val="00D476F7"/>
    <w:rsid w:val="00D50F97"/>
    <w:rsid w:val="00D5179F"/>
    <w:rsid w:val="00D546FF"/>
    <w:rsid w:val="00D559EB"/>
    <w:rsid w:val="00D55AD5"/>
    <w:rsid w:val="00D572D7"/>
    <w:rsid w:val="00D576CA"/>
    <w:rsid w:val="00D61AF5"/>
    <w:rsid w:val="00D652B5"/>
    <w:rsid w:val="00D66155"/>
    <w:rsid w:val="00D70209"/>
    <w:rsid w:val="00D708B0"/>
    <w:rsid w:val="00D70DA1"/>
    <w:rsid w:val="00D73A9F"/>
    <w:rsid w:val="00D77B1D"/>
    <w:rsid w:val="00D8021F"/>
    <w:rsid w:val="00D80383"/>
    <w:rsid w:val="00D823C6"/>
    <w:rsid w:val="00D83C3A"/>
    <w:rsid w:val="00D8460E"/>
    <w:rsid w:val="00D847A6"/>
    <w:rsid w:val="00D86CA3"/>
    <w:rsid w:val="00D871CE"/>
    <w:rsid w:val="00D9196D"/>
    <w:rsid w:val="00D92982"/>
    <w:rsid w:val="00DA305E"/>
    <w:rsid w:val="00DA5417"/>
    <w:rsid w:val="00DA56E8"/>
    <w:rsid w:val="00DB0715"/>
    <w:rsid w:val="00DB0A9F"/>
    <w:rsid w:val="00DB377D"/>
    <w:rsid w:val="00DB705B"/>
    <w:rsid w:val="00DB77EC"/>
    <w:rsid w:val="00DC28A0"/>
    <w:rsid w:val="00DC2D36"/>
    <w:rsid w:val="00DC53EF"/>
    <w:rsid w:val="00DC5A2C"/>
    <w:rsid w:val="00DC64AE"/>
    <w:rsid w:val="00DC690E"/>
    <w:rsid w:val="00DC7A19"/>
    <w:rsid w:val="00DD2C71"/>
    <w:rsid w:val="00DD3CCE"/>
    <w:rsid w:val="00DE119C"/>
    <w:rsid w:val="00DE3496"/>
    <w:rsid w:val="00DE544A"/>
    <w:rsid w:val="00DE5608"/>
    <w:rsid w:val="00DE58D0"/>
    <w:rsid w:val="00DE5926"/>
    <w:rsid w:val="00DE654F"/>
    <w:rsid w:val="00DF0B6E"/>
    <w:rsid w:val="00DF15E0"/>
    <w:rsid w:val="00DF37A0"/>
    <w:rsid w:val="00DF4ADE"/>
    <w:rsid w:val="00DF5DEF"/>
    <w:rsid w:val="00DF71A0"/>
    <w:rsid w:val="00E03E70"/>
    <w:rsid w:val="00E07FE8"/>
    <w:rsid w:val="00E10161"/>
    <w:rsid w:val="00E110E7"/>
    <w:rsid w:val="00E1141E"/>
    <w:rsid w:val="00E11B20"/>
    <w:rsid w:val="00E14D9A"/>
    <w:rsid w:val="00E16CA4"/>
    <w:rsid w:val="00E17FA2"/>
    <w:rsid w:val="00E21046"/>
    <w:rsid w:val="00E2187D"/>
    <w:rsid w:val="00E22330"/>
    <w:rsid w:val="00E2291E"/>
    <w:rsid w:val="00E23A5D"/>
    <w:rsid w:val="00E25451"/>
    <w:rsid w:val="00E30B5A"/>
    <w:rsid w:val="00E3123D"/>
    <w:rsid w:val="00E31461"/>
    <w:rsid w:val="00E31D43"/>
    <w:rsid w:val="00E32608"/>
    <w:rsid w:val="00E34188"/>
    <w:rsid w:val="00E34A17"/>
    <w:rsid w:val="00E34B6E"/>
    <w:rsid w:val="00E35559"/>
    <w:rsid w:val="00E3723A"/>
    <w:rsid w:val="00E37860"/>
    <w:rsid w:val="00E37958"/>
    <w:rsid w:val="00E37F9E"/>
    <w:rsid w:val="00E42EE0"/>
    <w:rsid w:val="00E446F1"/>
    <w:rsid w:val="00E46886"/>
    <w:rsid w:val="00E47AEF"/>
    <w:rsid w:val="00E47DD2"/>
    <w:rsid w:val="00E53B75"/>
    <w:rsid w:val="00E54E3B"/>
    <w:rsid w:val="00E551E9"/>
    <w:rsid w:val="00E57565"/>
    <w:rsid w:val="00E610E9"/>
    <w:rsid w:val="00E62CDB"/>
    <w:rsid w:val="00E63838"/>
    <w:rsid w:val="00E63AAC"/>
    <w:rsid w:val="00E64434"/>
    <w:rsid w:val="00E65C25"/>
    <w:rsid w:val="00E660D3"/>
    <w:rsid w:val="00E67C51"/>
    <w:rsid w:val="00E72288"/>
    <w:rsid w:val="00E72EFC"/>
    <w:rsid w:val="00E758EC"/>
    <w:rsid w:val="00E75BB3"/>
    <w:rsid w:val="00E80088"/>
    <w:rsid w:val="00E80A23"/>
    <w:rsid w:val="00E8234C"/>
    <w:rsid w:val="00E83AA9"/>
    <w:rsid w:val="00E85928"/>
    <w:rsid w:val="00E87822"/>
    <w:rsid w:val="00E90395"/>
    <w:rsid w:val="00E90E49"/>
    <w:rsid w:val="00E91440"/>
    <w:rsid w:val="00E917F9"/>
    <w:rsid w:val="00E9291C"/>
    <w:rsid w:val="00E93FFE"/>
    <w:rsid w:val="00E94F8A"/>
    <w:rsid w:val="00E95444"/>
    <w:rsid w:val="00E956C9"/>
    <w:rsid w:val="00E95A48"/>
    <w:rsid w:val="00EA3DF3"/>
    <w:rsid w:val="00EA7A41"/>
    <w:rsid w:val="00EA7A86"/>
    <w:rsid w:val="00EB01EA"/>
    <w:rsid w:val="00EB077B"/>
    <w:rsid w:val="00EB1374"/>
    <w:rsid w:val="00EB257F"/>
    <w:rsid w:val="00EB3546"/>
    <w:rsid w:val="00EB4EA2"/>
    <w:rsid w:val="00EB553B"/>
    <w:rsid w:val="00EC27C6"/>
    <w:rsid w:val="00EC4207"/>
    <w:rsid w:val="00EC5653"/>
    <w:rsid w:val="00EC5845"/>
    <w:rsid w:val="00EC606A"/>
    <w:rsid w:val="00EC6E4B"/>
    <w:rsid w:val="00EC71CE"/>
    <w:rsid w:val="00ED1006"/>
    <w:rsid w:val="00ED2017"/>
    <w:rsid w:val="00ED4C46"/>
    <w:rsid w:val="00ED75AC"/>
    <w:rsid w:val="00ED7B50"/>
    <w:rsid w:val="00EE7660"/>
    <w:rsid w:val="00EE7C29"/>
    <w:rsid w:val="00EF0182"/>
    <w:rsid w:val="00EF18FE"/>
    <w:rsid w:val="00EF4339"/>
    <w:rsid w:val="00EF4A5F"/>
    <w:rsid w:val="00EF53CF"/>
    <w:rsid w:val="00EF5787"/>
    <w:rsid w:val="00EF60D0"/>
    <w:rsid w:val="00EF7761"/>
    <w:rsid w:val="00F01619"/>
    <w:rsid w:val="00F01FC4"/>
    <w:rsid w:val="00F03268"/>
    <w:rsid w:val="00F0528D"/>
    <w:rsid w:val="00F05A77"/>
    <w:rsid w:val="00F06C67"/>
    <w:rsid w:val="00F06DFD"/>
    <w:rsid w:val="00F071D1"/>
    <w:rsid w:val="00F07533"/>
    <w:rsid w:val="00F07D4B"/>
    <w:rsid w:val="00F10629"/>
    <w:rsid w:val="00F10B11"/>
    <w:rsid w:val="00F133BF"/>
    <w:rsid w:val="00F154BD"/>
    <w:rsid w:val="00F15FA5"/>
    <w:rsid w:val="00F209B7"/>
    <w:rsid w:val="00F22022"/>
    <w:rsid w:val="00F2376F"/>
    <w:rsid w:val="00F243D8"/>
    <w:rsid w:val="00F2539D"/>
    <w:rsid w:val="00F2560C"/>
    <w:rsid w:val="00F27B85"/>
    <w:rsid w:val="00F30828"/>
    <w:rsid w:val="00F313D6"/>
    <w:rsid w:val="00F40540"/>
    <w:rsid w:val="00F408F8"/>
    <w:rsid w:val="00F40F0C"/>
    <w:rsid w:val="00F44628"/>
    <w:rsid w:val="00F4766C"/>
    <w:rsid w:val="00F507D1"/>
    <w:rsid w:val="00F519CE"/>
    <w:rsid w:val="00F51ADA"/>
    <w:rsid w:val="00F53306"/>
    <w:rsid w:val="00F56063"/>
    <w:rsid w:val="00F563E0"/>
    <w:rsid w:val="00F607C5"/>
    <w:rsid w:val="00F607F4"/>
    <w:rsid w:val="00F60DEA"/>
    <w:rsid w:val="00F6284F"/>
    <w:rsid w:val="00F6302A"/>
    <w:rsid w:val="00F64C2B"/>
    <w:rsid w:val="00F651BE"/>
    <w:rsid w:val="00F6797F"/>
    <w:rsid w:val="00F67F53"/>
    <w:rsid w:val="00F703BE"/>
    <w:rsid w:val="00F70C25"/>
    <w:rsid w:val="00F71F69"/>
    <w:rsid w:val="00F72B72"/>
    <w:rsid w:val="00F739EA"/>
    <w:rsid w:val="00F74BB9"/>
    <w:rsid w:val="00F75582"/>
    <w:rsid w:val="00F76EFA"/>
    <w:rsid w:val="00F804BE"/>
    <w:rsid w:val="00F80BEB"/>
    <w:rsid w:val="00F817CE"/>
    <w:rsid w:val="00F8456C"/>
    <w:rsid w:val="00F859D8"/>
    <w:rsid w:val="00F868F5"/>
    <w:rsid w:val="00F9056A"/>
    <w:rsid w:val="00F90F8D"/>
    <w:rsid w:val="00F92782"/>
    <w:rsid w:val="00F939F8"/>
    <w:rsid w:val="00F93AA9"/>
    <w:rsid w:val="00F943AB"/>
    <w:rsid w:val="00F96985"/>
    <w:rsid w:val="00F97838"/>
    <w:rsid w:val="00FA1C32"/>
    <w:rsid w:val="00FA2BB3"/>
    <w:rsid w:val="00FA32C0"/>
    <w:rsid w:val="00FA43F8"/>
    <w:rsid w:val="00FA486D"/>
    <w:rsid w:val="00FA6092"/>
    <w:rsid w:val="00FA71E9"/>
    <w:rsid w:val="00FB0E4B"/>
    <w:rsid w:val="00FB4C80"/>
    <w:rsid w:val="00FB6A6A"/>
    <w:rsid w:val="00FC4EE6"/>
    <w:rsid w:val="00FC64CE"/>
    <w:rsid w:val="00FC7429"/>
    <w:rsid w:val="00FD07F6"/>
    <w:rsid w:val="00FD1EC8"/>
    <w:rsid w:val="00FD34BE"/>
    <w:rsid w:val="00FD47ED"/>
    <w:rsid w:val="00FD74DB"/>
    <w:rsid w:val="00FD7660"/>
    <w:rsid w:val="00FE0655"/>
    <w:rsid w:val="00FE2365"/>
    <w:rsid w:val="00FE4C7B"/>
    <w:rsid w:val="00FE7336"/>
    <w:rsid w:val="00FE787C"/>
    <w:rsid w:val="00FE7ED6"/>
    <w:rsid w:val="00FF2ADE"/>
    <w:rsid w:val="00FF32B2"/>
    <w:rsid w:val="00FF45A5"/>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65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466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665B"/>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styleId="UnresolvedMention">
    <w:name w:val="Unresolved Mention"/>
    <w:basedOn w:val="DefaultParagraphFont"/>
    <w:uiPriority w:val="99"/>
    <w:semiHidden/>
    <w:unhideWhenUsed/>
    <w:rsid w:val="00BB1EC7"/>
    <w:rPr>
      <w:color w:val="808080"/>
      <w:shd w:val="clear" w:color="auto" w:fill="E6E6E6"/>
    </w:rPr>
  </w:style>
  <w:style w:type="table" w:styleId="TableGrid">
    <w:name w:val="Table Grid"/>
    <w:basedOn w:val="TableNormal"/>
    <w:rsid w:val="00493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2CF62DED-6E79-47A3-90E4-34BD1E19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2362</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2017-08-11T15:59:00Z</dcterms:created>
  <dcterms:modified xsi:type="dcterms:W3CDTF">2018-04-06T14:46:00Z</dcterms:modified>
</cp:coreProperties>
</file>